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5" w:type="dxa"/>
        <w:tblInd w:w="-306" w:type="dxa"/>
        <w:tblLayout w:type="fixed"/>
        <w:tblCellMar>
          <w:left w:w="0" w:type="dxa"/>
          <w:right w:w="0" w:type="dxa"/>
        </w:tblCellMar>
        <w:tblLook w:val="0000" w:firstRow="0" w:lastRow="0" w:firstColumn="0" w:lastColumn="0" w:noHBand="0" w:noVBand="0"/>
      </w:tblPr>
      <w:tblGrid>
        <w:gridCol w:w="1157"/>
        <w:gridCol w:w="4189"/>
        <w:gridCol w:w="4599"/>
      </w:tblGrid>
      <w:tr w:rsidR="00F02C16" w:rsidRPr="00143960" w:rsidTr="00033A54">
        <w:tc>
          <w:tcPr>
            <w:tcW w:w="1157" w:type="dxa"/>
            <w:tcBorders>
              <w:top w:val="nil"/>
              <w:left w:val="nil"/>
              <w:bottom w:val="nil"/>
              <w:right w:val="nil"/>
            </w:tcBorders>
          </w:tcPr>
          <w:p w:rsidR="00F02C16" w:rsidRPr="00143960" w:rsidRDefault="00F02C16" w:rsidP="00033A54">
            <w:pPr>
              <w:tabs>
                <w:tab w:val="left" w:pos="0"/>
                <w:tab w:val="left" w:pos="708"/>
              </w:tabs>
              <w:ind w:right="-4394"/>
              <w:rPr>
                <w:rFonts w:ascii="Calibri" w:eastAsia="Calibri" w:hAnsi="Calibri" w:cs="Times New Roman"/>
              </w:rPr>
            </w:pPr>
            <w:bookmarkStart w:id="0" w:name="_GoBack"/>
            <w:bookmarkEnd w:id="0"/>
            <w:r w:rsidRPr="00143960">
              <w:rPr>
                <w:rFonts w:ascii="Calibri" w:eastAsia="Calibri" w:hAnsi="Calibri" w:cs="Times New Roman"/>
                <w:noProof/>
                <w:lang w:eastAsia="nb-NO"/>
              </w:rPr>
              <w:drawing>
                <wp:inline distT="0" distB="0" distL="0" distR="0" wp14:anchorId="7AFC166A" wp14:editId="33F4DADE">
                  <wp:extent cx="612140" cy="74739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757" r="757"/>
                          <a:stretch>
                            <a:fillRect/>
                          </a:stretch>
                        </pic:blipFill>
                        <pic:spPr bwMode="auto">
                          <a:xfrm>
                            <a:off x="0" y="0"/>
                            <a:ext cx="612140" cy="747395"/>
                          </a:xfrm>
                          <a:prstGeom prst="rect">
                            <a:avLst/>
                          </a:prstGeom>
                          <a:noFill/>
                          <a:ln>
                            <a:noFill/>
                          </a:ln>
                        </pic:spPr>
                      </pic:pic>
                    </a:graphicData>
                  </a:graphic>
                </wp:inline>
              </w:drawing>
            </w:r>
          </w:p>
        </w:tc>
        <w:tc>
          <w:tcPr>
            <w:tcW w:w="4189" w:type="dxa"/>
            <w:tcBorders>
              <w:top w:val="nil"/>
              <w:left w:val="nil"/>
              <w:bottom w:val="nil"/>
              <w:right w:val="nil"/>
            </w:tcBorders>
          </w:tcPr>
          <w:p w:rsidR="00F02C16" w:rsidRPr="00143960" w:rsidRDefault="00F02C16" w:rsidP="00033A54">
            <w:pPr>
              <w:spacing w:after="0"/>
              <w:rPr>
                <w:rFonts w:ascii="Arial" w:eastAsia="Calibri" w:hAnsi="Arial" w:cs="Times New Roman"/>
                <w:b/>
              </w:rPr>
            </w:pPr>
            <w:r w:rsidRPr="00143960">
              <w:rPr>
                <w:rFonts w:ascii="Arial" w:eastAsia="Calibri" w:hAnsi="Arial" w:cs="Times New Roman"/>
                <w:b/>
              </w:rPr>
              <w:t xml:space="preserve">Norske </w:t>
            </w:r>
          </w:p>
          <w:p w:rsidR="00F02C16" w:rsidRPr="00143960" w:rsidRDefault="00F02C16" w:rsidP="00033A54">
            <w:pPr>
              <w:spacing w:after="0"/>
              <w:rPr>
                <w:rFonts w:ascii="Arial" w:eastAsia="Calibri" w:hAnsi="Arial" w:cs="Times New Roman"/>
                <w:b/>
              </w:rPr>
            </w:pPr>
            <w:r w:rsidRPr="00143960">
              <w:rPr>
                <w:rFonts w:ascii="Arial" w:eastAsia="Calibri" w:hAnsi="Arial" w:cs="Times New Roman"/>
                <w:b/>
              </w:rPr>
              <w:t>Sykehusfarmasøyters</w:t>
            </w:r>
          </w:p>
          <w:p w:rsidR="00F02C16" w:rsidRPr="00143960" w:rsidRDefault="00F02C16" w:rsidP="00033A54">
            <w:pPr>
              <w:spacing w:after="0" w:line="360" w:lineRule="auto"/>
              <w:rPr>
                <w:rFonts w:ascii="Arial" w:eastAsia="Calibri" w:hAnsi="Arial" w:cs="Times New Roman"/>
                <w:b/>
              </w:rPr>
            </w:pPr>
            <w:r w:rsidRPr="00143960">
              <w:rPr>
                <w:rFonts w:ascii="Arial" w:eastAsia="Calibri" w:hAnsi="Arial" w:cs="Times New Roman"/>
                <w:b/>
              </w:rPr>
              <w:t>Forening</w:t>
            </w:r>
          </w:p>
          <w:p w:rsidR="00F02C16" w:rsidRPr="00143960" w:rsidRDefault="00F02C16" w:rsidP="00033A54">
            <w:pPr>
              <w:spacing w:after="0"/>
              <w:rPr>
                <w:rFonts w:ascii="Calibri" w:eastAsia="Calibri" w:hAnsi="Calibri" w:cs="Times New Roman"/>
              </w:rPr>
            </w:pPr>
            <w:r w:rsidRPr="00143960">
              <w:rPr>
                <w:rFonts w:ascii="Arial" w:eastAsia="Calibri" w:hAnsi="Arial" w:cs="Times New Roman"/>
                <w:b/>
              </w:rPr>
              <w:t>www.sykehusfarmasi.org</w:t>
            </w:r>
          </w:p>
        </w:tc>
        <w:tc>
          <w:tcPr>
            <w:tcW w:w="4599" w:type="dxa"/>
            <w:tcBorders>
              <w:top w:val="nil"/>
              <w:left w:val="nil"/>
              <w:bottom w:val="nil"/>
              <w:right w:val="nil"/>
            </w:tcBorders>
          </w:tcPr>
          <w:p w:rsidR="00F02C16" w:rsidRPr="00143960" w:rsidRDefault="00F02C16" w:rsidP="00033A54">
            <w:pPr>
              <w:keepNext/>
              <w:tabs>
                <w:tab w:val="left" w:pos="-142"/>
              </w:tabs>
              <w:spacing w:after="0" w:line="240" w:lineRule="auto"/>
              <w:ind w:left="-142"/>
              <w:outlineLvl w:val="0"/>
              <w:rPr>
                <w:rFonts w:ascii="Comic Sans MS" w:eastAsia="Times New Roman" w:hAnsi="Comic Sans MS" w:cs="Times New Roman"/>
                <w:b/>
                <w:bCs/>
                <w:sz w:val="20"/>
                <w:szCs w:val="20"/>
                <w:lang w:eastAsia="nb-NO"/>
              </w:rPr>
            </w:pPr>
            <w:r w:rsidRPr="00143960">
              <w:rPr>
                <w:rFonts w:ascii="Comic Sans MS" w:eastAsia="Times New Roman" w:hAnsi="Comic Sans MS" w:cs="Times New Roman"/>
                <w:b/>
                <w:bCs/>
                <w:sz w:val="28"/>
                <w:szCs w:val="20"/>
                <w:lang w:eastAsia="nb-NO"/>
              </w:rPr>
              <w:t xml:space="preserve"> </w:t>
            </w:r>
          </w:p>
        </w:tc>
      </w:tr>
    </w:tbl>
    <w:p w:rsidR="00F02C16" w:rsidRPr="00143960" w:rsidRDefault="00F02C16" w:rsidP="00F02C16">
      <w:pPr>
        <w:ind w:left="6372" w:firstLine="708"/>
        <w:rPr>
          <w:rFonts w:ascii="Times New Roman" w:eastAsia="Calibri" w:hAnsi="Times New Roman" w:cs="Times New Roman"/>
          <w:sz w:val="24"/>
          <w:szCs w:val="24"/>
        </w:rPr>
      </w:pPr>
    </w:p>
    <w:p w:rsidR="00F02C16" w:rsidRPr="00143960" w:rsidRDefault="002B641E" w:rsidP="002B641E">
      <w:pPr>
        <w:jc w:val="right"/>
        <w:rPr>
          <w:rFonts w:ascii="Times New Roman" w:eastAsia="Calibri" w:hAnsi="Times New Roman" w:cs="Times New Roman"/>
          <w:color w:val="000000" w:themeColor="text1"/>
          <w:sz w:val="24"/>
          <w:szCs w:val="24"/>
        </w:rPr>
      </w:pPr>
      <w:r w:rsidRPr="00143960">
        <w:rPr>
          <w:rFonts w:ascii="Times New Roman" w:eastAsia="Calibri" w:hAnsi="Times New Roman" w:cs="Times New Roman"/>
          <w:color w:val="000000" w:themeColor="text1"/>
          <w:sz w:val="24"/>
          <w:szCs w:val="24"/>
        </w:rPr>
        <w:t>Trondheim</w:t>
      </w:r>
      <w:r w:rsidR="00750A3A" w:rsidRPr="00143960">
        <w:rPr>
          <w:rFonts w:ascii="Times New Roman" w:eastAsia="Calibri" w:hAnsi="Times New Roman" w:cs="Times New Roman"/>
          <w:color w:val="000000" w:themeColor="text1"/>
          <w:sz w:val="24"/>
          <w:szCs w:val="24"/>
        </w:rPr>
        <w:t>,</w:t>
      </w:r>
      <w:r w:rsidR="004C5C1B" w:rsidRPr="00143960">
        <w:rPr>
          <w:rFonts w:ascii="Times New Roman" w:eastAsia="Calibri" w:hAnsi="Times New Roman" w:cs="Times New Roman"/>
          <w:color w:val="000000" w:themeColor="text1"/>
          <w:sz w:val="24"/>
          <w:szCs w:val="24"/>
        </w:rPr>
        <w:t xml:space="preserve"> </w:t>
      </w:r>
      <w:r w:rsidR="00F86DFB">
        <w:rPr>
          <w:rFonts w:ascii="Times New Roman" w:eastAsia="Calibri" w:hAnsi="Times New Roman" w:cs="Times New Roman"/>
          <w:color w:val="000000" w:themeColor="text1"/>
          <w:sz w:val="24"/>
          <w:szCs w:val="24"/>
        </w:rPr>
        <w:t>janua</w:t>
      </w:r>
      <w:r w:rsidR="00F86DFB" w:rsidRPr="00143960">
        <w:rPr>
          <w:rFonts w:ascii="Times New Roman" w:eastAsia="Calibri" w:hAnsi="Times New Roman" w:cs="Times New Roman"/>
          <w:color w:val="000000" w:themeColor="text1"/>
          <w:sz w:val="24"/>
          <w:szCs w:val="24"/>
        </w:rPr>
        <w:t xml:space="preserve">r </w:t>
      </w:r>
      <w:r w:rsidR="00530E34" w:rsidRPr="00143960">
        <w:rPr>
          <w:rFonts w:ascii="Times New Roman" w:eastAsia="Calibri" w:hAnsi="Times New Roman" w:cs="Times New Roman"/>
          <w:color w:val="000000" w:themeColor="text1"/>
          <w:sz w:val="24"/>
          <w:szCs w:val="24"/>
        </w:rPr>
        <w:t>202</w:t>
      </w:r>
      <w:r w:rsidR="00F86DFB">
        <w:rPr>
          <w:rFonts w:ascii="Times New Roman" w:eastAsia="Calibri" w:hAnsi="Times New Roman" w:cs="Times New Roman"/>
          <w:color w:val="000000" w:themeColor="text1"/>
          <w:sz w:val="24"/>
          <w:szCs w:val="24"/>
        </w:rPr>
        <w:t>1</w:t>
      </w:r>
    </w:p>
    <w:p w:rsidR="00F02C16" w:rsidRPr="00143960" w:rsidRDefault="00530E34" w:rsidP="00F02C16">
      <w:pPr>
        <w:rPr>
          <w:rFonts w:ascii="Times New Roman" w:eastAsia="Calibri" w:hAnsi="Times New Roman" w:cs="Times New Roman"/>
          <w:sz w:val="24"/>
          <w:szCs w:val="24"/>
        </w:rPr>
      </w:pPr>
      <w:r w:rsidRPr="00143960">
        <w:rPr>
          <w:rFonts w:ascii="Times New Roman" w:eastAsia="Calibri" w:hAnsi="Times New Roman" w:cs="Times New Roman"/>
          <w:sz w:val="24"/>
          <w:szCs w:val="24"/>
        </w:rPr>
        <w:t>Helse- og omsorgsdepartementet</w:t>
      </w:r>
    </w:p>
    <w:p w:rsidR="00DD4FB2" w:rsidRPr="00143960" w:rsidRDefault="008E7FEE" w:rsidP="00F02C16">
      <w:pPr>
        <w:rPr>
          <w:rFonts w:ascii="Times New Roman" w:eastAsia="Calibri" w:hAnsi="Times New Roman" w:cs="Times New Roman"/>
          <w:b/>
          <w:sz w:val="24"/>
          <w:szCs w:val="24"/>
        </w:rPr>
      </w:pPr>
      <w:r w:rsidRPr="00143960">
        <w:rPr>
          <w:rFonts w:ascii="Tahoma" w:hAnsi="Tahoma" w:cs="Tahoma"/>
          <w:b/>
          <w:color w:val="282828"/>
          <w:sz w:val="24"/>
          <w:szCs w:val="24"/>
        </w:rPr>
        <w:t xml:space="preserve">Høring – </w:t>
      </w:r>
      <w:r w:rsidR="00770002">
        <w:rPr>
          <w:rFonts w:ascii="Tahoma" w:hAnsi="Tahoma" w:cs="Tahoma"/>
          <w:b/>
          <w:color w:val="282828"/>
          <w:sz w:val="24"/>
          <w:szCs w:val="24"/>
        </w:rPr>
        <w:t>endringer i grossistregelverket</w:t>
      </w:r>
      <w:r w:rsidR="001D58C7">
        <w:rPr>
          <w:rFonts w:ascii="Tahoma" w:hAnsi="Tahoma" w:cs="Tahoma"/>
          <w:b/>
          <w:color w:val="282828"/>
          <w:sz w:val="24"/>
          <w:szCs w:val="24"/>
        </w:rPr>
        <w:t xml:space="preserve"> (ref. 20/4954)</w:t>
      </w:r>
    </w:p>
    <w:p w:rsidR="00F02C16" w:rsidRPr="00143960" w:rsidRDefault="00F02C16" w:rsidP="00F02C16">
      <w:pPr>
        <w:pBdr>
          <w:top w:val="single" w:sz="4" w:space="1" w:color="auto"/>
          <w:left w:val="single" w:sz="4" w:space="4" w:color="auto"/>
          <w:bottom w:val="single" w:sz="4" w:space="1" w:color="auto"/>
          <w:right w:val="single" w:sz="4" w:space="4" w:color="auto"/>
        </w:pBdr>
        <w:rPr>
          <w:rFonts w:ascii="Times New Roman" w:eastAsia="Calibri" w:hAnsi="Times New Roman" w:cs="Times New Roman"/>
          <w:i/>
          <w:sz w:val="20"/>
          <w:szCs w:val="20"/>
        </w:rPr>
      </w:pPr>
      <w:r w:rsidRPr="00143960">
        <w:rPr>
          <w:rFonts w:ascii="Times New Roman" w:eastAsia="Calibri" w:hAnsi="Times New Roman" w:cs="Times New Roman"/>
          <w:i/>
          <w:sz w:val="20"/>
          <w:szCs w:val="20"/>
        </w:rPr>
        <w:t xml:space="preserve">Norske Sykehusfarmasøyters Forening (NSF) har om lag </w:t>
      </w:r>
      <w:r w:rsidR="00AA2437" w:rsidRPr="00143960">
        <w:rPr>
          <w:rFonts w:ascii="Times New Roman" w:eastAsia="Calibri" w:hAnsi="Times New Roman" w:cs="Times New Roman"/>
          <w:i/>
          <w:sz w:val="20"/>
          <w:szCs w:val="20"/>
        </w:rPr>
        <w:t>40</w:t>
      </w:r>
      <w:r w:rsidRPr="00143960">
        <w:rPr>
          <w:rFonts w:ascii="Times New Roman" w:eastAsia="Calibri" w:hAnsi="Times New Roman" w:cs="Times New Roman"/>
          <w:i/>
          <w:sz w:val="20"/>
          <w:szCs w:val="20"/>
        </w:rPr>
        <w:t>0 medlemmer. Vi er en uavhengig interesseforening for sykehusfarmasøyter som arbeider i sykehusapotek, helseforetak eller er offentlig ansatte og har som oppgave å arbeide for sykehusfarmasiens utvikling. Våre medlemmer arbeider bl.a. med legemiddeltilvirkning, distribusjon og salg av legemidler, farmasøytisk rådgivning i ulike deler av helsetjenesten og med undervisning av helsepersonell i legemiddelhåndtering mm.</w:t>
      </w:r>
      <w:r w:rsidR="009A4AF7" w:rsidRPr="00143960">
        <w:rPr>
          <w:rFonts w:ascii="Times New Roman" w:eastAsia="Calibri" w:hAnsi="Times New Roman" w:cs="Times New Roman"/>
          <w:i/>
          <w:sz w:val="20"/>
          <w:szCs w:val="20"/>
        </w:rPr>
        <w:t xml:space="preserve"> NSF er medlem av European Association </w:t>
      </w:r>
      <w:proofErr w:type="spellStart"/>
      <w:r w:rsidR="009A4AF7" w:rsidRPr="00143960">
        <w:rPr>
          <w:rFonts w:ascii="Times New Roman" w:eastAsia="Calibri" w:hAnsi="Times New Roman" w:cs="Times New Roman"/>
          <w:i/>
          <w:sz w:val="20"/>
          <w:szCs w:val="20"/>
        </w:rPr>
        <w:t>of</w:t>
      </w:r>
      <w:proofErr w:type="spellEnd"/>
      <w:r w:rsidR="009A4AF7" w:rsidRPr="00143960">
        <w:rPr>
          <w:rFonts w:ascii="Times New Roman" w:eastAsia="Calibri" w:hAnsi="Times New Roman" w:cs="Times New Roman"/>
          <w:i/>
          <w:sz w:val="20"/>
          <w:szCs w:val="20"/>
        </w:rPr>
        <w:t xml:space="preserve"> Hospital </w:t>
      </w:r>
      <w:proofErr w:type="spellStart"/>
      <w:r w:rsidR="009A4AF7" w:rsidRPr="00143960">
        <w:rPr>
          <w:rFonts w:ascii="Times New Roman" w:eastAsia="Calibri" w:hAnsi="Times New Roman" w:cs="Times New Roman"/>
          <w:i/>
          <w:sz w:val="20"/>
          <w:szCs w:val="20"/>
        </w:rPr>
        <w:t>Pharmacists</w:t>
      </w:r>
      <w:proofErr w:type="spellEnd"/>
      <w:r w:rsidR="009A4AF7" w:rsidRPr="00143960">
        <w:rPr>
          <w:rFonts w:ascii="Times New Roman" w:eastAsia="Calibri" w:hAnsi="Times New Roman" w:cs="Times New Roman"/>
          <w:i/>
          <w:sz w:val="20"/>
          <w:szCs w:val="20"/>
        </w:rPr>
        <w:t xml:space="preserve"> (EAHP).</w:t>
      </w:r>
    </w:p>
    <w:p w:rsidR="00432731" w:rsidRDefault="00432731" w:rsidP="00766E11">
      <w:pPr>
        <w:shd w:val="clear" w:color="auto" w:fill="FFFFFF"/>
        <w:spacing w:after="0" w:line="240" w:lineRule="auto"/>
        <w:rPr>
          <w:color w:val="282828"/>
        </w:rPr>
      </w:pPr>
    </w:p>
    <w:p w:rsidR="00766E11" w:rsidRDefault="006A350B" w:rsidP="00766E11">
      <w:pPr>
        <w:shd w:val="clear" w:color="auto" w:fill="FFFFFF"/>
        <w:spacing w:after="0" w:line="240" w:lineRule="auto"/>
      </w:pPr>
      <w:r>
        <w:rPr>
          <w:color w:val="282828"/>
        </w:rPr>
        <w:t xml:space="preserve">Norske Sykehusfarmasøyters Forening støtter forslaget om at det stilles </w:t>
      </w:r>
      <w:r>
        <w:t>krav om farmasøytisk kontroll for alle leveranser til profesjonelle sluttbrukere tilsvarende som for apotek.</w:t>
      </w:r>
    </w:p>
    <w:p w:rsidR="00A62BCC" w:rsidRDefault="00A62BCC" w:rsidP="00766E11">
      <w:pPr>
        <w:shd w:val="clear" w:color="auto" w:fill="FFFFFF"/>
        <w:spacing w:after="0" w:line="240" w:lineRule="auto"/>
      </w:pPr>
    </w:p>
    <w:p w:rsidR="00A62BCC" w:rsidRDefault="00A62BCC" w:rsidP="00766E11">
      <w:pPr>
        <w:shd w:val="clear" w:color="auto" w:fill="FFFFFF"/>
        <w:spacing w:after="0" w:line="240" w:lineRule="auto"/>
      </w:pPr>
      <w:r>
        <w:t xml:space="preserve">Vedrørende direkteleveranser av legemidler til sykehus antydes det på side 14 en innskrenkning av grossisters adgang til levering direkte til sykehus, mens det på side 20 belyses at det kan være flere legemiddelgrupper </w:t>
      </w:r>
      <w:r w:rsidR="00432731">
        <w:t xml:space="preserve">som kan kjøpes direkte fra grossist. Her ønskes det en klargjøring og god dialog rundt hvilke legemidler som skal inntas i det foreslåtte vedlegg x til </w:t>
      </w:r>
      <w:proofErr w:type="spellStart"/>
      <w:r w:rsidR="00432731">
        <w:t>forskriften</w:t>
      </w:r>
      <w:proofErr w:type="spellEnd"/>
      <w:r w:rsidR="00432731">
        <w:t>, gjerne i form av en høring.</w:t>
      </w:r>
    </w:p>
    <w:p w:rsidR="006A350B" w:rsidRPr="00143960" w:rsidRDefault="006A350B" w:rsidP="00766E11">
      <w:pPr>
        <w:shd w:val="clear" w:color="auto" w:fill="FFFFFF"/>
        <w:spacing w:after="0" w:line="240" w:lineRule="auto"/>
        <w:rPr>
          <w:color w:val="282828"/>
        </w:rPr>
      </w:pPr>
    </w:p>
    <w:p w:rsidR="00143960" w:rsidRPr="00143960" w:rsidRDefault="003A353C" w:rsidP="00143960">
      <w:pPr>
        <w:shd w:val="clear" w:color="auto" w:fill="FFFFFF"/>
        <w:spacing w:after="0" w:line="240" w:lineRule="auto"/>
        <w:rPr>
          <w:color w:val="282828"/>
        </w:rPr>
      </w:pPr>
      <w:r>
        <w:rPr>
          <w:color w:val="282828"/>
        </w:rPr>
        <w:t xml:space="preserve">Ad </w:t>
      </w:r>
      <w:r>
        <w:rPr>
          <w:b/>
          <w:bCs/>
          <w:i/>
          <w:iCs/>
        </w:rPr>
        <w:t>Levering av legemidler til kliniske studier fra grossist til profesjonelle sluttbrukere</w:t>
      </w:r>
    </w:p>
    <w:p w:rsidR="003A353C" w:rsidRPr="00506D97" w:rsidRDefault="003A353C" w:rsidP="00F8717E">
      <w:pPr>
        <w:shd w:val="clear" w:color="auto" w:fill="FFFFFF"/>
        <w:rPr>
          <w:rFonts w:cstheme="minorHAnsi"/>
          <w:b/>
          <w:color w:val="000000" w:themeColor="text1"/>
        </w:rPr>
      </w:pPr>
      <w:r>
        <w:rPr>
          <w:color w:val="282828"/>
        </w:rPr>
        <w:t xml:space="preserve">EØS-grossister har hatt mulighet til å sende legemidler direkte til </w:t>
      </w:r>
      <w:proofErr w:type="spellStart"/>
      <w:r>
        <w:rPr>
          <w:color w:val="282828"/>
        </w:rPr>
        <w:t>utprøversted</w:t>
      </w:r>
      <w:proofErr w:type="spellEnd"/>
      <w:r>
        <w:rPr>
          <w:color w:val="282828"/>
        </w:rPr>
        <w:t xml:space="preserve"> i Norge i årevis jamfør</w:t>
      </w:r>
      <w:r w:rsidR="00540124">
        <w:rPr>
          <w:color w:val="282828"/>
        </w:rPr>
        <w:t xml:space="preserve"> informasjon på Statens legemiddelverks nettside</w:t>
      </w:r>
      <w:r>
        <w:rPr>
          <w:color w:val="282828"/>
        </w:rPr>
        <w:t xml:space="preserve"> </w:t>
      </w:r>
      <w:hyperlink r:id="rId5" w:anchor="1.-grossist" w:history="1">
        <w:r w:rsidRPr="00516F13">
          <w:rPr>
            <w:rStyle w:val="Hyperkobling"/>
          </w:rPr>
          <w:t>https://legemiddelverket.no/import-og-salg/import-og-grossistvirksomhet/innforselimport-av-legemidler-til-kliniske-studier-i-norge#1.-grossist</w:t>
        </w:r>
      </w:hyperlink>
      <w:r w:rsidR="006A350B">
        <w:rPr>
          <w:color w:val="282828"/>
        </w:rPr>
        <w:t xml:space="preserve"> </w:t>
      </w:r>
      <w:r>
        <w:rPr>
          <w:color w:val="282828"/>
        </w:rPr>
        <w:t>Det</w:t>
      </w:r>
      <w:r w:rsidR="00540124">
        <w:rPr>
          <w:color w:val="282828"/>
        </w:rPr>
        <w:t>te</w:t>
      </w:r>
      <w:r>
        <w:rPr>
          <w:color w:val="282828"/>
        </w:rPr>
        <w:t xml:space="preserve"> </w:t>
      </w:r>
      <w:r w:rsidR="004313AD">
        <w:rPr>
          <w:color w:val="282828"/>
        </w:rPr>
        <w:t>foregår imidlertid i et begrenset omfang siden</w:t>
      </w:r>
      <w:r>
        <w:rPr>
          <w:color w:val="282828"/>
        </w:rPr>
        <w:t xml:space="preserve"> EØS-grossister trenger norsk MVA-nummer for å utføre denne aktiviteten. </w:t>
      </w:r>
      <w:r w:rsidR="006A350B">
        <w:rPr>
          <w:color w:val="282828"/>
        </w:rPr>
        <w:t>Per i dag er dette angitt som et krav på nettsiden til Statens legemiddelver</w:t>
      </w:r>
      <w:r w:rsidR="00432731">
        <w:rPr>
          <w:color w:val="282828"/>
        </w:rPr>
        <w:t>k (SLV), dog ikke på de engelsk</w:t>
      </w:r>
      <w:r w:rsidR="006A350B">
        <w:rPr>
          <w:color w:val="282828"/>
        </w:rPr>
        <w:t>språklige sidene. Når det gjelder termen «Godkjent studiested» må det defineres nærmere hvordan grossist kan sjekke hvilke studiesteder som er godkjente. Per i dag er ikke dette noe som nødvendigvis står angitt i protokollen, ei heller i godkjenningen fra regional etisk komité (REK).</w:t>
      </w:r>
      <w:r w:rsidR="00506D97">
        <w:rPr>
          <w:color w:val="282828"/>
        </w:rPr>
        <w:t xml:space="preserve"> Hentet fra </w:t>
      </w:r>
      <w:proofErr w:type="spellStart"/>
      <w:r w:rsidR="00506D97">
        <w:rPr>
          <w:color w:val="282828"/>
        </w:rPr>
        <w:t>REKs</w:t>
      </w:r>
      <w:proofErr w:type="spellEnd"/>
      <w:r w:rsidR="00506D97">
        <w:rPr>
          <w:color w:val="282828"/>
        </w:rPr>
        <w:t xml:space="preserve"> nettside 09DES2020: </w:t>
      </w:r>
      <w:r w:rsidR="00506D97" w:rsidRPr="00506D97">
        <w:rPr>
          <w:i/>
          <w:color w:val="282828"/>
        </w:rPr>
        <w:t>«</w:t>
      </w:r>
      <w:r w:rsidR="00506D97" w:rsidRPr="00506D97">
        <w:rPr>
          <w:rStyle w:val="Sterk"/>
          <w:rFonts w:cstheme="minorHAnsi"/>
          <w:b w:val="0"/>
          <w:i/>
          <w:color w:val="000000" w:themeColor="text1"/>
        </w:rPr>
        <w:t>Prosjektregisteret oppdateres ikke etter juni 2019. Nytt prosjektregister vil komme i ny portal:</w:t>
      </w:r>
      <w:r w:rsidR="00506D97" w:rsidRPr="00506D97">
        <w:rPr>
          <w:rStyle w:val="Sterk"/>
          <w:rFonts w:cstheme="minorHAnsi"/>
          <w:b w:val="0"/>
          <w:i/>
          <w:color w:val="FF0000"/>
        </w:rPr>
        <w:t> </w:t>
      </w:r>
      <w:r w:rsidR="00506D97" w:rsidRPr="00432731">
        <w:rPr>
          <w:rStyle w:val="Sterk"/>
          <w:rFonts w:cstheme="minorHAnsi"/>
          <w:b w:val="0"/>
          <w:bCs w:val="0"/>
          <w:i/>
          <w:color w:val="0000FF"/>
        </w:rPr>
        <w:t>https://rekportalen.no</w:t>
      </w:r>
      <w:r w:rsidR="00432731">
        <w:rPr>
          <w:rStyle w:val="Sterk"/>
          <w:rFonts w:ascii="Verdana" w:hAnsi="Verdana"/>
          <w:color w:val="000000"/>
          <w:sz w:val="15"/>
          <w:szCs w:val="15"/>
        </w:rPr>
        <w:t xml:space="preserve">» </w:t>
      </w:r>
      <w:r w:rsidR="00506D97" w:rsidRPr="00506D97">
        <w:rPr>
          <w:rStyle w:val="Sterk"/>
          <w:rFonts w:cstheme="minorHAnsi"/>
          <w:b w:val="0"/>
          <w:color w:val="000000" w:themeColor="text1"/>
        </w:rPr>
        <w:t>men dette er ikke etablert ennå.</w:t>
      </w:r>
    </w:p>
    <w:p w:rsidR="00F8717E" w:rsidRPr="00143960" w:rsidRDefault="00F8717E" w:rsidP="00F8717E">
      <w:pPr>
        <w:shd w:val="clear" w:color="auto" w:fill="FFFFFF"/>
        <w:rPr>
          <w:color w:val="282828"/>
        </w:rPr>
      </w:pPr>
      <w:r w:rsidRPr="00143960">
        <w:rPr>
          <w:color w:val="282828"/>
        </w:rPr>
        <w:t>Hilsen</w:t>
      </w:r>
    </w:p>
    <w:p w:rsidR="003A353C" w:rsidRDefault="003A353C" w:rsidP="003A353C">
      <w:pPr>
        <w:shd w:val="clear" w:color="auto" w:fill="FFFFFF"/>
        <w:spacing w:after="0"/>
        <w:rPr>
          <w:color w:val="282828"/>
        </w:rPr>
      </w:pPr>
      <w:r>
        <w:rPr>
          <w:color w:val="282828"/>
        </w:rPr>
        <w:t>Håvard Kirkevold</w:t>
      </w:r>
    </w:p>
    <w:p w:rsidR="003A353C" w:rsidRDefault="003A353C" w:rsidP="003A353C">
      <w:pPr>
        <w:shd w:val="clear" w:color="auto" w:fill="FFFFFF"/>
        <w:spacing w:after="0"/>
        <w:rPr>
          <w:color w:val="282828"/>
        </w:rPr>
      </w:pPr>
      <w:r>
        <w:rPr>
          <w:color w:val="282828"/>
        </w:rPr>
        <w:t>Leder</w:t>
      </w:r>
    </w:p>
    <w:p w:rsidR="003A353C" w:rsidRDefault="003A353C" w:rsidP="003A353C">
      <w:pPr>
        <w:shd w:val="clear" w:color="auto" w:fill="FFFFFF"/>
        <w:spacing w:after="0"/>
        <w:rPr>
          <w:color w:val="282828"/>
        </w:rPr>
      </w:pPr>
      <w:r>
        <w:rPr>
          <w:color w:val="282828"/>
        </w:rPr>
        <w:t>Norske Sykehusfarmasøyters Forening</w:t>
      </w:r>
    </w:p>
    <w:p w:rsidR="009D5EFE" w:rsidRPr="00143960" w:rsidRDefault="007E7082" w:rsidP="002B641E">
      <w:pPr>
        <w:shd w:val="clear" w:color="auto" w:fill="FFFFFF"/>
        <w:spacing w:after="0"/>
        <w:rPr>
          <w:rFonts w:eastAsia="Calibri" w:cs="Times New Roman"/>
        </w:rPr>
      </w:pPr>
      <w:hyperlink r:id="rId6" w:history="1">
        <w:r w:rsidR="00F8717E" w:rsidRPr="00143960">
          <w:rPr>
            <w:rStyle w:val="Hyperkobling"/>
            <w:rFonts w:eastAsia="Calibri" w:cs="Times New Roman"/>
          </w:rPr>
          <w:t>www.sykehusfarmasi.org</w:t>
        </w:r>
      </w:hyperlink>
    </w:p>
    <w:sectPr w:rsidR="009D5EFE" w:rsidRPr="00143960" w:rsidSect="008C6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90"/>
    <w:rsid w:val="00022DA5"/>
    <w:rsid w:val="00025B57"/>
    <w:rsid w:val="00042A1D"/>
    <w:rsid w:val="00143960"/>
    <w:rsid w:val="00156490"/>
    <w:rsid w:val="00170874"/>
    <w:rsid w:val="00187A83"/>
    <w:rsid w:val="001C3D4D"/>
    <w:rsid w:val="001D58C7"/>
    <w:rsid w:val="0026744F"/>
    <w:rsid w:val="002759B2"/>
    <w:rsid w:val="002940DA"/>
    <w:rsid w:val="002B641E"/>
    <w:rsid w:val="003301DD"/>
    <w:rsid w:val="003A353C"/>
    <w:rsid w:val="003B2591"/>
    <w:rsid w:val="00401C4A"/>
    <w:rsid w:val="00420DE3"/>
    <w:rsid w:val="004313AD"/>
    <w:rsid w:val="00432731"/>
    <w:rsid w:val="004868D9"/>
    <w:rsid w:val="004C5C1B"/>
    <w:rsid w:val="004E19AC"/>
    <w:rsid w:val="00506D97"/>
    <w:rsid w:val="00530E34"/>
    <w:rsid w:val="00540124"/>
    <w:rsid w:val="0054519D"/>
    <w:rsid w:val="005663DC"/>
    <w:rsid w:val="00610440"/>
    <w:rsid w:val="006A350B"/>
    <w:rsid w:val="00750890"/>
    <w:rsid w:val="00750A3A"/>
    <w:rsid w:val="00766E11"/>
    <w:rsid w:val="00770002"/>
    <w:rsid w:val="00787B5A"/>
    <w:rsid w:val="007E7082"/>
    <w:rsid w:val="00854E3F"/>
    <w:rsid w:val="008C6871"/>
    <w:rsid w:val="008D69A0"/>
    <w:rsid w:val="008E69EE"/>
    <w:rsid w:val="008E7FEE"/>
    <w:rsid w:val="00963B80"/>
    <w:rsid w:val="009A4AF7"/>
    <w:rsid w:val="009C6AA2"/>
    <w:rsid w:val="009D5EFE"/>
    <w:rsid w:val="00A57BA2"/>
    <w:rsid w:val="00A62BCC"/>
    <w:rsid w:val="00A81AB8"/>
    <w:rsid w:val="00AA2437"/>
    <w:rsid w:val="00AD64CC"/>
    <w:rsid w:val="00B659AB"/>
    <w:rsid w:val="00B70FD5"/>
    <w:rsid w:val="00BD1ADF"/>
    <w:rsid w:val="00BE2C82"/>
    <w:rsid w:val="00CD5D4F"/>
    <w:rsid w:val="00D468C0"/>
    <w:rsid w:val="00DC2692"/>
    <w:rsid w:val="00DD4FB2"/>
    <w:rsid w:val="00E46350"/>
    <w:rsid w:val="00E73A59"/>
    <w:rsid w:val="00E96A6B"/>
    <w:rsid w:val="00EA476C"/>
    <w:rsid w:val="00EE4F02"/>
    <w:rsid w:val="00EE698A"/>
    <w:rsid w:val="00F02C16"/>
    <w:rsid w:val="00F85244"/>
    <w:rsid w:val="00F86DFB"/>
    <w:rsid w:val="00F871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3E8AC-9021-4AC8-BDD7-EAFD3BBF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73A59"/>
    <w:rPr>
      <w:color w:val="0000FF" w:themeColor="hyperlink"/>
      <w:u w:val="single"/>
    </w:rPr>
  </w:style>
  <w:style w:type="paragraph" w:styleId="Bobletekst">
    <w:name w:val="Balloon Text"/>
    <w:basedOn w:val="Normal"/>
    <w:link w:val="BobletekstTegn"/>
    <w:uiPriority w:val="99"/>
    <w:semiHidden/>
    <w:unhideWhenUsed/>
    <w:rsid w:val="00F02C1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2C16"/>
    <w:rPr>
      <w:rFonts w:ascii="Tahoma" w:hAnsi="Tahoma" w:cs="Tahoma"/>
      <w:sz w:val="16"/>
      <w:szCs w:val="16"/>
    </w:rPr>
  </w:style>
  <w:style w:type="paragraph" w:styleId="NormalWeb">
    <w:name w:val="Normal (Web)"/>
    <w:basedOn w:val="Normal"/>
    <w:uiPriority w:val="99"/>
    <w:semiHidden/>
    <w:unhideWhenUsed/>
    <w:rsid w:val="002940DA"/>
    <w:pPr>
      <w:spacing w:after="0"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506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91526">
      <w:bodyDiv w:val="1"/>
      <w:marLeft w:val="0"/>
      <w:marRight w:val="0"/>
      <w:marTop w:val="0"/>
      <w:marBottom w:val="0"/>
      <w:divBdr>
        <w:top w:val="none" w:sz="0" w:space="0" w:color="auto"/>
        <w:left w:val="none" w:sz="0" w:space="0" w:color="auto"/>
        <w:bottom w:val="none" w:sz="0" w:space="0" w:color="auto"/>
        <w:right w:val="none" w:sz="0" w:space="0" w:color="auto"/>
      </w:divBdr>
    </w:div>
    <w:div w:id="947346781">
      <w:bodyDiv w:val="1"/>
      <w:marLeft w:val="0"/>
      <w:marRight w:val="0"/>
      <w:marTop w:val="0"/>
      <w:marBottom w:val="0"/>
      <w:divBdr>
        <w:top w:val="none" w:sz="0" w:space="0" w:color="auto"/>
        <w:left w:val="none" w:sz="0" w:space="0" w:color="auto"/>
        <w:bottom w:val="none" w:sz="0" w:space="0" w:color="auto"/>
        <w:right w:val="none" w:sz="0" w:space="0" w:color="auto"/>
      </w:divBdr>
    </w:div>
    <w:div w:id="1225338694">
      <w:bodyDiv w:val="1"/>
      <w:marLeft w:val="0"/>
      <w:marRight w:val="0"/>
      <w:marTop w:val="0"/>
      <w:marBottom w:val="0"/>
      <w:divBdr>
        <w:top w:val="none" w:sz="0" w:space="0" w:color="auto"/>
        <w:left w:val="none" w:sz="0" w:space="0" w:color="auto"/>
        <w:bottom w:val="none" w:sz="0" w:space="0" w:color="auto"/>
        <w:right w:val="none" w:sz="0" w:space="0" w:color="auto"/>
      </w:divBdr>
    </w:div>
    <w:div w:id="1857184066">
      <w:bodyDiv w:val="1"/>
      <w:marLeft w:val="0"/>
      <w:marRight w:val="0"/>
      <w:marTop w:val="0"/>
      <w:marBottom w:val="0"/>
      <w:divBdr>
        <w:top w:val="none" w:sz="0" w:space="0" w:color="auto"/>
        <w:left w:val="none" w:sz="0" w:space="0" w:color="auto"/>
        <w:bottom w:val="none" w:sz="0" w:space="0" w:color="auto"/>
        <w:right w:val="none" w:sz="0" w:space="0" w:color="auto"/>
      </w:divBdr>
    </w:div>
    <w:div w:id="21300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kehusfarmasi.org" TargetMode="External"/><Relationship Id="rId5" Type="http://schemas.openxmlformats.org/officeDocument/2006/relationships/hyperlink" Target="https://legemiddelverket.no/import-og-salg/import-og-grossistvirksomhet/innforselimport-av-legemidler-til-kliniske-studier-i-norge" TargetMode="External"/><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2280</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Trelnes</dc:creator>
  <cp:lastModifiedBy>Sæther, Lene</cp:lastModifiedBy>
  <cp:revision>2</cp:revision>
  <dcterms:created xsi:type="dcterms:W3CDTF">2021-01-08T10:17:00Z</dcterms:created>
  <dcterms:modified xsi:type="dcterms:W3CDTF">2021-01-08T10:17:00Z</dcterms:modified>
</cp:coreProperties>
</file>