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45" w:type="dxa"/>
        <w:tblInd w:w="-3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7"/>
        <w:gridCol w:w="4189"/>
        <w:gridCol w:w="4599"/>
      </w:tblGrid>
      <w:tr w:rsidR="00F02C16" w:rsidRPr="00860E68" w:rsidTr="00033A54"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F02C16" w:rsidRPr="00860E68" w:rsidRDefault="00F02C16" w:rsidP="00033A54">
            <w:pPr>
              <w:tabs>
                <w:tab w:val="left" w:pos="0"/>
                <w:tab w:val="left" w:pos="708"/>
              </w:tabs>
              <w:ind w:right="-4394"/>
              <w:rPr>
                <w:rFonts w:ascii="Calibri" w:eastAsia="Calibri" w:hAnsi="Calibri" w:cs="Times New Roman"/>
              </w:rPr>
            </w:pPr>
            <w:r w:rsidRPr="00860E68">
              <w:rPr>
                <w:rFonts w:ascii="Calibri" w:eastAsia="Calibri" w:hAnsi="Calibri" w:cs="Times New Roman"/>
                <w:noProof/>
                <w:lang w:eastAsia="nb-NO"/>
              </w:rPr>
              <w:drawing>
                <wp:inline distT="0" distB="0" distL="0" distR="0" wp14:anchorId="7AFC166A" wp14:editId="33F4DADE">
                  <wp:extent cx="612140" cy="747395"/>
                  <wp:effectExtent l="0" t="0" r="0" b="0"/>
                  <wp:docPr id="2" name="Bil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57" r="7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140" cy="747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9" w:type="dxa"/>
            <w:tcBorders>
              <w:top w:val="nil"/>
              <w:left w:val="nil"/>
              <w:bottom w:val="nil"/>
              <w:right w:val="nil"/>
            </w:tcBorders>
          </w:tcPr>
          <w:p w:rsidR="00F02C16" w:rsidRPr="00860E68" w:rsidRDefault="00F02C16" w:rsidP="00033A54">
            <w:pPr>
              <w:spacing w:after="0"/>
              <w:rPr>
                <w:rFonts w:ascii="Arial" w:eastAsia="Calibri" w:hAnsi="Arial" w:cs="Times New Roman"/>
                <w:b/>
              </w:rPr>
            </w:pPr>
            <w:r w:rsidRPr="00860E68">
              <w:rPr>
                <w:rFonts w:ascii="Arial" w:eastAsia="Calibri" w:hAnsi="Arial" w:cs="Times New Roman"/>
                <w:b/>
              </w:rPr>
              <w:t xml:space="preserve">Norske </w:t>
            </w:r>
          </w:p>
          <w:p w:rsidR="00F02C16" w:rsidRPr="00860E68" w:rsidRDefault="00F02C16" w:rsidP="00033A54">
            <w:pPr>
              <w:spacing w:after="0"/>
              <w:rPr>
                <w:rFonts w:ascii="Arial" w:eastAsia="Calibri" w:hAnsi="Arial" w:cs="Times New Roman"/>
                <w:b/>
              </w:rPr>
            </w:pPr>
            <w:r w:rsidRPr="00860E68">
              <w:rPr>
                <w:rFonts w:ascii="Arial" w:eastAsia="Calibri" w:hAnsi="Arial" w:cs="Times New Roman"/>
                <w:b/>
              </w:rPr>
              <w:t>Sykehusfarmasøyters</w:t>
            </w:r>
          </w:p>
          <w:p w:rsidR="00F02C16" w:rsidRPr="00860E68" w:rsidRDefault="00F02C16" w:rsidP="00033A54">
            <w:pPr>
              <w:spacing w:after="0" w:line="360" w:lineRule="auto"/>
              <w:rPr>
                <w:rFonts w:ascii="Arial" w:eastAsia="Calibri" w:hAnsi="Arial" w:cs="Times New Roman"/>
                <w:b/>
              </w:rPr>
            </w:pPr>
            <w:r w:rsidRPr="00860E68">
              <w:rPr>
                <w:rFonts w:ascii="Arial" w:eastAsia="Calibri" w:hAnsi="Arial" w:cs="Times New Roman"/>
                <w:b/>
              </w:rPr>
              <w:t>Forening</w:t>
            </w:r>
          </w:p>
          <w:p w:rsidR="00F02C16" w:rsidRPr="00860E68" w:rsidRDefault="00F02C16" w:rsidP="00033A54">
            <w:pPr>
              <w:spacing w:after="0"/>
              <w:rPr>
                <w:rFonts w:ascii="Calibri" w:eastAsia="Calibri" w:hAnsi="Calibri" w:cs="Times New Roman"/>
              </w:rPr>
            </w:pPr>
            <w:r w:rsidRPr="00860E68">
              <w:rPr>
                <w:rFonts w:ascii="Arial" w:eastAsia="Calibri" w:hAnsi="Arial" w:cs="Times New Roman"/>
                <w:b/>
              </w:rPr>
              <w:t>www.sykehusfarmasi.org</w:t>
            </w:r>
          </w:p>
        </w:tc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</w:tcPr>
          <w:p w:rsidR="00F02C16" w:rsidRPr="00860E68" w:rsidRDefault="00F02C16" w:rsidP="00033A54">
            <w:pPr>
              <w:keepNext/>
              <w:tabs>
                <w:tab w:val="left" w:pos="-142"/>
              </w:tabs>
              <w:spacing w:after="0" w:line="240" w:lineRule="auto"/>
              <w:ind w:left="-142"/>
              <w:outlineLvl w:val="0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nb-NO"/>
              </w:rPr>
            </w:pPr>
            <w:r w:rsidRPr="00860E68">
              <w:rPr>
                <w:rFonts w:ascii="Comic Sans MS" w:eastAsia="Times New Roman" w:hAnsi="Comic Sans MS" w:cs="Times New Roman"/>
                <w:b/>
                <w:bCs/>
                <w:sz w:val="28"/>
                <w:szCs w:val="20"/>
                <w:lang w:eastAsia="nb-NO"/>
              </w:rPr>
              <w:t xml:space="preserve"> </w:t>
            </w:r>
          </w:p>
        </w:tc>
      </w:tr>
    </w:tbl>
    <w:p w:rsidR="00F02C16" w:rsidRPr="00860E68" w:rsidRDefault="00F02C16" w:rsidP="00F02C16">
      <w:pPr>
        <w:ind w:left="6372" w:firstLine="708"/>
        <w:rPr>
          <w:rFonts w:ascii="Times New Roman" w:eastAsia="Calibri" w:hAnsi="Times New Roman" w:cs="Times New Roman"/>
          <w:sz w:val="24"/>
          <w:szCs w:val="24"/>
        </w:rPr>
      </w:pPr>
    </w:p>
    <w:p w:rsidR="00F02C16" w:rsidRPr="00860E68" w:rsidRDefault="0082418E" w:rsidP="002B641E">
      <w:pPr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</w:t>
      </w:r>
      <w:r w:rsidR="00443DDA" w:rsidRPr="00860E6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ugust 2022</w:t>
      </w:r>
    </w:p>
    <w:p w:rsidR="00F02C16" w:rsidRPr="00860E68" w:rsidRDefault="00530E34" w:rsidP="00F02C16">
      <w:pPr>
        <w:rPr>
          <w:rFonts w:ascii="Times New Roman" w:eastAsia="Calibri" w:hAnsi="Times New Roman" w:cs="Times New Roman"/>
          <w:sz w:val="24"/>
          <w:szCs w:val="24"/>
        </w:rPr>
      </w:pPr>
      <w:r w:rsidRPr="00860E68">
        <w:rPr>
          <w:rFonts w:ascii="Times New Roman" w:eastAsia="Calibri" w:hAnsi="Times New Roman" w:cs="Times New Roman"/>
          <w:sz w:val="24"/>
          <w:szCs w:val="24"/>
        </w:rPr>
        <w:t>Helse</w:t>
      </w:r>
      <w:r w:rsidR="00443DDA" w:rsidRPr="00860E68">
        <w:rPr>
          <w:rFonts w:ascii="Times New Roman" w:eastAsia="Calibri" w:hAnsi="Times New Roman" w:cs="Times New Roman"/>
          <w:sz w:val="24"/>
          <w:szCs w:val="24"/>
        </w:rPr>
        <w:t>direktoratet</w:t>
      </w:r>
      <w:r w:rsidR="00D2206B">
        <w:rPr>
          <w:rFonts w:ascii="Times New Roman" w:eastAsia="Calibri" w:hAnsi="Times New Roman" w:cs="Times New Roman"/>
          <w:sz w:val="24"/>
          <w:szCs w:val="24"/>
        </w:rPr>
        <w:t xml:space="preserve"> og Statens legemiddelverk</w:t>
      </w:r>
    </w:p>
    <w:p w:rsidR="00DD4FB2" w:rsidRPr="00860E68" w:rsidRDefault="00750A3A" w:rsidP="00F02C16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860E68">
        <w:rPr>
          <w:rFonts w:ascii="Tahoma" w:hAnsi="Tahoma" w:cs="Tahoma"/>
          <w:b/>
          <w:color w:val="282828"/>
          <w:sz w:val="24"/>
          <w:szCs w:val="24"/>
        </w:rPr>
        <w:t>Høring</w:t>
      </w:r>
      <w:r w:rsidR="002729B5" w:rsidRPr="00860E68">
        <w:rPr>
          <w:rFonts w:ascii="Tahoma" w:hAnsi="Tahoma" w:cs="Tahoma"/>
          <w:b/>
          <w:color w:val="282828"/>
          <w:sz w:val="24"/>
          <w:szCs w:val="24"/>
        </w:rPr>
        <w:t xml:space="preserve">sinnspill til veileder til forskrift om rekvirering og utlevering av legemidler m.m. </w:t>
      </w:r>
    </w:p>
    <w:p w:rsidR="00F02C16" w:rsidRPr="00860E68" w:rsidRDefault="00F02C16" w:rsidP="00F02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Calibri" w:hAnsi="Times New Roman" w:cs="Times New Roman"/>
          <w:i/>
          <w:sz w:val="20"/>
          <w:szCs w:val="20"/>
        </w:rPr>
      </w:pPr>
      <w:r w:rsidRPr="00860E68">
        <w:rPr>
          <w:rFonts w:ascii="Times New Roman" w:eastAsia="Calibri" w:hAnsi="Times New Roman" w:cs="Times New Roman"/>
          <w:i/>
          <w:sz w:val="20"/>
          <w:szCs w:val="20"/>
        </w:rPr>
        <w:t xml:space="preserve">Norske Sykehusfarmasøyters Forening (NSF) har om lag </w:t>
      </w:r>
      <w:r w:rsidR="00AA2437" w:rsidRPr="00860E68">
        <w:rPr>
          <w:rFonts w:ascii="Times New Roman" w:eastAsia="Calibri" w:hAnsi="Times New Roman" w:cs="Times New Roman"/>
          <w:i/>
          <w:sz w:val="20"/>
          <w:szCs w:val="20"/>
        </w:rPr>
        <w:t>40</w:t>
      </w:r>
      <w:r w:rsidRPr="00860E68">
        <w:rPr>
          <w:rFonts w:ascii="Times New Roman" w:eastAsia="Calibri" w:hAnsi="Times New Roman" w:cs="Times New Roman"/>
          <w:i/>
          <w:sz w:val="20"/>
          <w:szCs w:val="20"/>
        </w:rPr>
        <w:t>0 medlemmer. Vi er en uavhengig interesseforening for sykehusfarmasøyter som arbeider i sykehusapotek, helseforetak eller er offentlig ansatte og har som oppgave å arbeide for sykehusfarmasiens utvikling. Våre medlemmer arbeider bl.a. med legemiddeltilvirkning, distribusjon og salg av legemidler, farmasøytisk rådgivning i ulike deler av helsetjenesten og med undervisning av helsepersonell i legemiddelhåndtering mm.</w:t>
      </w:r>
      <w:r w:rsidR="009A4AF7" w:rsidRPr="00860E68">
        <w:rPr>
          <w:rFonts w:ascii="Times New Roman" w:eastAsia="Calibri" w:hAnsi="Times New Roman" w:cs="Times New Roman"/>
          <w:i/>
          <w:sz w:val="20"/>
          <w:szCs w:val="20"/>
        </w:rPr>
        <w:t xml:space="preserve"> NSF er medlem av European Association </w:t>
      </w:r>
      <w:proofErr w:type="spellStart"/>
      <w:r w:rsidR="009A4AF7" w:rsidRPr="00860E68">
        <w:rPr>
          <w:rFonts w:ascii="Times New Roman" w:eastAsia="Calibri" w:hAnsi="Times New Roman" w:cs="Times New Roman"/>
          <w:i/>
          <w:sz w:val="20"/>
          <w:szCs w:val="20"/>
        </w:rPr>
        <w:t>of</w:t>
      </w:r>
      <w:proofErr w:type="spellEnd"/>
      <w:r w:rsidR="009A4AF7" w:rsidRPr="00860E68">
        <w:rPr>
          <w:rFonts w:ascii="Times New Roman" w:eastAsia="Calibri" w:hAnsi="Times New Roman" w:cs="Times New Roman"/>
          <w:i/>
          <w:sz w:val="20"/>
          <w:szCs w:val="20"/>
        </w:rPr>
        <w:t xml:space="preserve"> Hospital </w:t>
      </w:r>
      <w:proofErr w:type="spellStart"/>
      <w:r w:rsidR="009A4AF7" w:rsidRPr="00860E68">
        <w:rPr>
          <w:rFonts w:ascii="Times New Roman" w:eastAsia="Calibri" w:hAnsi="Times New Roman" w:cs="Times New Roman"/>
          <w:i/>
          <w:sz w:val="20"/>
          <w:szCs w:val="20"/>
        </w:rPr>
        <w:t>Pharmacists</w:t>
      </w:r>
      <w:proofErr w:type="spellEnd"/>
      <w:r w:rsidR="009A4AF7" w:rsidRPr="00860E68">
        <w:rPr>
          <w:rFonts w:ascii="Times New Roman" w:eastAsia="Calibri" w:hAnsi="Times New Roman" w:cs="Times New Roman"/>
          <w:i/>
          <w:sz w:val="20"/>
          <w:szCs w:val="20"/>
        </w:rPr>
        <w:t xml:space="preserve"> (EAHP).</w:t>
      </w:r>
    </w:p>
    <w:p w:rsidR="00766E11" w:rsidRPr="00860E68" w:rsidRDefault="00766E11" w:rsidP="00766E11">
      <w:pPr>
        <w:shd w:val="clear" w:color="auto" w:fill="FFFFFF"/>
        <w:spacing w:after="0" w:line="240" w:lineRule="auto"/>
        <w:rPr>
          <w:color w:val="282828"/>
        </w:rPr>
      </w:pPr>
    </w:p>
    <w:p w:rsidR="00B4486D" w:rsidRPr="00D2206B" w:rsidRDefault="00DC561F" w:rsidP="00710124">
      <w:pPr>
        <w:shd w:val="clear" w:color="auto" w:fill="FFFFFF"/>
        <w:spacing w:after="0" w:line="240" w:lineRule="auto"/>
        <w:rPr>
          <w:color w:val="282828"/>
        </w:rPr>
      </w:pPr>
      <w:r>
        <w:rPr>
          <w:color w:val="282828"/>
        </w:rPr>
        <w:t>V</w:t>
      </w:r>
      <w:r w:rsidR="00860E68" w:rsidRPr="00D2206B">
        <w:rPr>
          <w:color w:val="282828"/>
        </w:rPr>
        <w:t>eiledningen som en helhet virker oversiktlig</w:t>
      </w:r>
      <w:r w:rsidR="001155ED" w:rsidRPr="00D2206B">
        <w:rPr>
          <w:color w:val="282828"/>
        </w:rPr>
        <w:t xml:space="preserve"> og enkel å forholde seg til.</w:t>
      </w:r>
      <w:r>
        <w:rPr>
          <w:color w:val="282828"/>
        </w:rPr>
        <w:t xml:space="preserve"> </w:t>
      </w:r>
      <w:r w:rsidR="00860E68" w:rsidRPr="00D2206B">
        <w:rPr>
          <w:color w:val="282828"/>
        </w:rPr>
        <w:t>V</w:t>
      </w:r>
      <w:r w:rsidR="0098320A" w:rsidRPr="00D2206B">
        <w:rPr>
          <w:color w:val="282828"/>
        </w:rPr>
        <w:t xml:space="preserve">eiledningen til utleveringsbestemmelsene </w:t>
      </w:r>
      <w:r w:rsidR="00B4486D" w:rsidRPr="00D2206B">
        <w:rPr>
          <w:color w:val="282828"/>
        </w:rPr>
        <w:t>i</w:t>
      </w:r>
      <w:r w:rsidR="0098320A" w:rsidRPr="00D2206B">
        <w:rPr>
          <w:color w:val="282828"/>
        </w:rPr>
        <w:t xml:space="preserve"> </w:t>
      </w:r>
      <w:proofErr w:type="spellStart"/>
      <w:r w:rsidR="00D2206B" w:rsidRPr="00D2206B">
        <w:rPr>
          <w:color w:val="282828"/>
        </w:rPr>
        <w:t>forskriftens</w:t>
      </w:r>
      <w:proofErr w:type="spellEnd"/>
      <w:r w:rsidR="00D2206B" w:rsidRPr="00D2206B">
        <w:rPr>
          <w:color w:val="282828"/>
        </w:rPr>
        <w:t xml:space="preserve"> kapitler 3-15</w:t>
      </w:r>
      <w:r w:rsidR="00B4486D" w:rsidRPr="00D2206B">
        <w:rPr>
          <w:color w:val="282828"/>
        </w:rPr>
        <w:t xml:space="preserve"> er</w:t>
      </w:r>
      <w:r w:rsidR="00860E68" w:rsidRPr="00D2206B">
        <w:rPr>
          <w:color w:val="282828"/>
        </w:rPr>
        <w:t xml:space="preserve"> </w:t>
      </w:r>
      <w:r w:rsidR="00B4486D" w:rsidRPr="00D2206B">
        <w:rPr>
          <w:color w:val="282828"/>
        </w:rPr>
        <w:t>entydig, klar</w:t>
      </w:r>
      <w:r w:rsidR="00B4486D" w:rsidRPr="00D2206B">
        <w:rPr>
          <w:color w:val="282828"/>
        </w:rPr>
        <w:t xml:space="preserve"> og dekkende </w:t>
      </w:r>
      <w:r w:rsidR="00B4486D" w:rsidRPr="00D2206B">
        <w:rPr>
          <w:color w:val="282828"/>
        </w:rPr>
        <w:t>foruten følgende punkter:</w:t>
      </w:r>
    </w:p>
    <w:p w:rsidR="007524EF" w:rsidRPr="00860E68" w:rsidRDefault="007524EF" w:rsidP="00710124">
      <w:pPr>
        <w:shd w:val="clear" w:color="auto" w:fill="FFFFFF"/>
        <w:spacing w:after="0" w:line="240" w:lineRule="auto"/>
        <w:rPr>
          <w:color w:val="282828"/>
        </w:rPr>
      </w:pPr>
    </w:p>
    <w:p w:rsidR="007524EF" w:rsidRPr="00860E68" w:rsidRDefault="007524EF" w:rsidP="007524EF">
      <w:pPr>
        <w:rPr>
          <w:b/>
          <w:bCs/>
        </w:rPr>
      </w:pPr>
      <w:r w:rsidRPr="00860E68">
        <w:rPr>
          <w:b/>
          <w:bCs/>
        </w:rPr>
        <w:t xml:space="preserve">§ 2-1 </w:t>
      </w:r>
    </w:p>
    <w:p w:rsidR="007524EF" w:rsidRPr="00860E68" w:rsidRDefault="007524EF" w:rsidP="007524EF">
      <w:pPr>
        <w:rPr>
          <w:b/>
          <w:bCs/>
        </w:rPr>
      </w:pPr>
      <w:r w:rsidRPr="00860E68">
        <w:rPr>
          <w:b/>
          <w:bCs/>
        </w:rPr>
        <w:t xml:space="preserve">Faglig forsvarlighet </w:t>
      </w:r>
    </w:p>
    <w:p w:rsidR="007524EF" w:rsidRPr="00860E68" w:rsidRDefault="007524EF" w:rsidP="007524EF">
      <w:pPr>
        <w:rPr>
          <w:b/>
          <w:bCs/>
        </w:rPr>
      </w:pPr>
      <w:r w:rsidRPr="00860E68">
        <w:rPr>
          <w:b/>
          <w:bCs/>
        </w:rPr>
        <w:t xml:space="preserve">Krav til virksomheter </w:t>
      </w:r>
    </w:p>
    <w:p w:rsidR="007524EF" w:rsidRPr="00860E68" w:rsidRDefault="007524EF" w:rsidP="007524EF">
      <w:r w:rsidRPr="00860E68">
        <w:t>Virksomheter som yter helsetjenester plikter å sørge for faglig forsvarlige helsetjenester til pasientene, jf. lov om helse- og omsorgstjenester § 4-1, lov om spesialisthelsetjeneste § 2-2 og lov om apotek §1-</w:t>
      </w:r>
      <w:proofErr w:type="gramStart"/>
      <w:r w:rsidRPr="00860E68">
        <w:t>1 .</w:t>
      </w:r>
      <w:proofErr w:type="gramEnd"/>
      <w:r w:rsidRPr="00860E68">
        <w:t xml:space="preserve"> I tillegg til dette finnes det en del spesiallover med krav til virksomheter som yter helsetjenester, for eksempel </w:t>
      </w:r>
      <w:r w:rsidRPr="00860E68">
        <w:rPr>
          <w:highlight w:val="yellow"/>
        </w:rPr>
        <w:t>og</w:t>
      </w:r>
      <w:r w:rsidRPr="00860E68">
        <w:t xml:space="preserve"> lov om tannhelsetjeneste § 1-3a, lov om veterinærer og annet dyrehelsepersonell § 1 med videre. </w:t>
      </w:r>
    </w:p>
    <w:p w:rsidR="005A4AE9" w:rsidRPr="00860E68" w:rsidRDefault="007524EF" w:rsidP="007524EF">
      <w:r w:rsidRPr="00860E68">
        <w:rPr>
          <w:u w:val="single"/>
        </w:rPr>
        <w:t>Kommentar:</w:t>
      </w:r>
      <w:r w:rsidRPr="00860E68">
        <w:t xml:space="preserve"> Usammenhengende, en «og» for mye eller mangler det en setning/ord?</w:t>
      </w:r>
    </w:p>
    <w:p w:rsidR="005A4AE9" w:rsidRPr="00860E68" w:rsidRDefault="005A4AE9" w:rsidP="005A4AE9">
      <w:pPr>
        <w:rPr>
          <w:rFonts w:cstheme="minorHAnsi"/>
          <w:b/>
          <w:bCs/>
        </w:rPr>
      </w:pPr>
      <w:r w:rsidRPr="00860E68">
        <w:rPr>
          <w:rFonts w:cstheme="minorHAnsi"/>
          <w:b/>
          <w:bCs/>
        </w:rPr>
        <w:t xml:space="preserve">§ 3-2 </w:t>
      </w:r>
    </w:p>
    <w:p w:rsidR="005A4AE9" w:rsidRPr="00860E68" w:rsidRDefault="005A4AE9" w:rsidP="005A4AE9">
      <w:pPr>
        <w:rPr>
          <w:rFonts w:cstheme="minorHAnsi"/>
          <w:b/>
          <w:bCs/>
        </w:rPr>
      </w:pPr>
      <w:r w:rsidRPr="00860E68">
        <w:rPr>
          <w:rFonts w:cstheme="minorHAnsi"/>
          <w:b/>
          <w:bCs/>
        </w:rPr>
        <w:t xml:space="preserve">Leger - </w:t>
      </w:r>
      <w:proofErr w:type="spellStart"/>
      <w:r w:rsidRPr="00860E68">
        <w:rPr>
          <w:rFonts w:cstheme="minorHAnsi"/>
          <w:b/>
          <w:bCs/>
        </w:rPr>
        <w:t>grenselisens</w:t>
      </w:r>
      <w:proofErr w:type="spellEnd"/>
      <w:r w:rsidRPr="00860E68">
        <w:rPr>
          <w:rFonts w:cstheme="minorHAnsi"/>
          <w:b/>
          <w:bCs/>
        </w:rPr>
        <w:t xml:space="preserve"> </w:t>
      </w:r>
    </w:p>
    <w:p w:rsidR="005A4AE9" w:rsidRPr="00860E68" w:rsidRDefault="005A4AE9" w:rsidP="005A4AE9">
      <w:pPr>
        <w:rPr>
          <w:rFonts w:cstheme="minorHAnsi"/>
        </w:rPr>
      </w:pPr>
      <w:r w:rsidRPr="00860E68">
        <w:rPr>
          <w:rFonts w:cstheme="minorHAnsi"/>
        </w:rPr>
        <w:t>Bestemmelsens § 3-2 første ledd viser til</w:t>
      </w:r>
      <w:r w:rsidR="008553C7" w:rsidRPr="00860E68">
        <w:rPr>
          <w:rFonts w:cstheme="minorHAnsi"/>
        </w:rPr>
        <w:t xml:space="preserve"> </w:t>
      </w:r>
      <w:r w:rsidRPr="00860E68">
        <w:rPr>
          <w:rFonts w:cstheme="minorHAnsi"/>
        </w:rPr>
        <w:t>lov om helsepersonell § 50. Se også rundskrivet til lov om helsepersonell. Bestemmelsen gjelder helsepersonell med autorisasjon/legitimasjon i Sverige eller Finland som er offentlig ansatt og som ar</w:t>
      </w:r>
      <w:r w:rsidR="008553C7" w:rsidRPr="00860E68">
        <w:rPr>
          <w:rFonts w:cstheme="minorHAnsi"/>
        </w:rPr>
        <w:t>beider langs grensen til Norge</w:t>
      </w:r>
      <w:r w:rsidR="0082418E">
        <w:rPr>
          <w:rFonts w:cstheme="minorHAnsi"/>
        </w:rPr>
        <w:t>.</w:t>
      </w:r>
    </w:p>
    <w:p w:rsidR="005A4AE9" w:rsidRPr="00D2206B" w:rsidRDefault="005A4AE9" w:rsidP="007524EF">
      <w:pPr>
        <w:rPr>
          <w:rFonts w:cstheme="minorHAnsi"/>
        </w:rPr>
      </w:pPr>
      <w:r w:rsidRPr="00860E68">
        <w:rPr>
          <w:rFonts w:cstheme="minorHAnsi"/>
          <w:u w:val="single"/>
        </w:rPr>
        <w:t>Kommentar:</w:t>
      </w:r>
      <w:r w:rsidRPr="00860E68">
        <w:rPr>
          <w:rFonts w:cstheme="minorHAnsi"/>
        </w:rPr>
        <w:t xml:space="preserve"> </w:t>
      </w:r>
      <w:r w:rsidR="008553C7" w:rsidRPr="00860E68">
        <w:rPr>
          <w:rFonts w:cstheme="minorHAnsi"/>
        </w:rPr>
        <w:t xml:space="preserve">Her kunne man ha definert hvilke områder som defineres som langs grensen, hvilken eventuell avstand som gjelder fra grensen. </w:t>
      </w:r>
    </w:p>
    <w:p w:rsidR="00B4486D" w:rsidRPr="00860E68" w:rsidRDefault="00B4486D" w:rsidP="00B4486D">
      <w:pPr>
        <w:shd w:val="clear" w:color="auto" w:fill="FFFFFF"/>
        <w:spacing w:before="420" w:after="0" w:line="240" w:lineRule="auto"/>
        <w:outlineLvl w:val="2"/>
        <w:rPr>
          <w:rFonts w:eastAsia="Times New Roman" w:cstheme="minorHAnsi"/>
          <w:b/>
          <w:bCs/>
          <w:color w:val="212121"/>
          <w:lang w:eastAsia="nb-NO"/>
        </w:rPr>
      </w:pPr>
      <w:r w:rsidRPr="00860E68">
        <w:rPr>
          <w:rFonts w:eastAsia="Times New Roman" w:cstheme="minorHAnsi"/>
          <w:b/>
          <w:bCs/>
          <w:color w:val="212121"/>
          <w:lang w:eastAsia="nb-NO"/>
        </w:rPr>
        <w:t>§3-3</w:t>
      </w:r>
    </w:p>
    <w:p w:rsidR="00B4486D" w:rsidRPr="00860E68" w:rsidRDefault="00B4486D" w:rsidP="00B4486D">
      <w:pPr>
        <w:shd w:val="clear" w:color="auto" w:fill="FFFFFF"/>
        <w:spacing w:before="420" w:after="0" w:line="240" w:lineRule="auto"/>
        <w:outlineLvl w:val="2"/>
        <w:rPr>
          <w:rFonts w:eastAsia="Times New Roman" w:cstheme="minorHAnsi"/>
          <w:b/>
          <w:bCs/>
          <w:color w:val="212121"/>
          <w:lang w:eastAsia="nb-NO"/>
        </w:rPr>
      </w:pPr>
      <w:r w:rsidRPr="00860E68">
        <w:rPr>
          <w:rFonts w:eastAsia="Times New Roman" w:cstheme="minorHAnsi"/>
          <w:b/>
          <w:bCs/>
          <w:color w:val="212121"/>
          <w:lang w:eastAsia="nb-NO"/>
        </w:rPr>
        <w:t>Rekvireringsrett for tannleger med spesialistgodkjenning i oral kirurgi og oral medisin</w:t>
      </w:r>
    </w:p>
    <w:p w:rsidR="00E037A2" w:rsidRPr="00860E68" w:rsidRDefault="00B4486D" w:rsidP="00E037A2">
      <w:pPr>
        <w:shd w:val="clear" w:color="auto" w:fill="FFFFFF"/>
        <w:spacing w:before="100" w:beforeAutospacing="1" w:after="0" w:line="240" w:lineRule="auto"/>
        <w:rPr>
          <w:rFonts w:eastAsia="Times New Roman" w:cstheme="minorHAnsi"/>
          <w:color w:val="212121"/>
          <w:lang w:eastAsia="nb-NO"/>
        </w:rPr>
      </w:pPr>
      <w:r w:rsidRPr="00860E68">
        <w:rPr>
          <w:rFonts w:eastAsia="Times New Roman" w:cstheme="minorHAnsi"/>
          <w:color w:val="212121"/>
          <w:lang w:eastAsia="nb-NO"/>
        </w:rPr>
        <w:t xml:space="preserve">I </w:t>
      </w:r>
      <w:proofErr w:type="spellStart"/>
      <w:r w:rsidRPr="00860E68">
        <w:rPr>
          <w:rFonts w:eastAsia="Times New Roman" w:cstheme="minorHAnsi"/>
          <w:color w:val="212121"/>
          <w:lang w:eastAsia="nb-NO"/>
        </w:rPr>
        <w:t>forskriftens</w:t>
      </w:r>
      <w:proofErr w:type="spellEnd"/>
      <w:r w:rsidRPr="00860E68">
        <w:rPr>
          <w:rFonts w:eastAsia="Times New Roman" w:cstheme="minorHAnsi"/>
          <w:color w:val="212121"/>
          <w:lang w:eastAsia="nb-NO"/>
        </w:rPr>
        <w:t xml:space="preserve"> § 3-3 tredje ledd er tannleger med </w:t>
      </w:r>
      <w:hyperlink r:id="rId6" w:history="1">
        <w:r w:rsidRPr="00860E68">
          <w:rPr>
            <w:rStyle w:val="Hyperkobling"/>
            <w:rFonts w:eastAsia="Times New Roman" w:cstheme="minorHAnsi"/>
            <w:color w:val="212121"/>
            <w:lang w:eastAsia="nb-NO"/>
          </w:rPr>
          <w:t>norsk spesialistgodkjenning i oral kirurgi og oral medisin</w:t>
        </w:r>
      </w:hyperlink>
      <w:r w:rsidRPr="00860E68">
        <w:rPr>
          <w:rFonts w:eastAsia="Times New Roman" w:cstheme="minorHAnsi"/>
          <w:color w:val="212121"/>
          <w:lang w:eastAsia="nb-NO"/>
        </w:rPr>
        <w:t>, gitt rett til også å rekvirere legemidler, utover de legemidler som alle tannleger kan rekvirere til bruk på pasienter i tannlegevirksomheten, i den utstrekning som kreves for diagnostikk og behandling av sykdommer, skader og defekter i kjeve, munnhule samt omkringliggende vev.</w:t>
      </w:r>
      <w:r w:rsidR="00E037A2" w:rsidRPr="00860E68">
        <w:rPr>
          <w:rFonts w:eastAsia="Times New Roman" w:cstheme="minorHAnsi"/>
          <w:color w:val="212121"/>
          <w:lang w:eastAsia="nb-NO"/>
        </w:rPr>
        <w:br/>
      </w:r>
    </w:p>
    <w:p w:rsidR="00B4486D" w:rsidRPr="00860E68" w:rsidRDefault="00B4486D" w:rsidP="00B4486D">
      <w:r w:rsidRPr="00860E68">
        <w:rPr>
          <w:u w:val="single"/>
        </w:rPr>
        <w:t>Kommentar</w:t>
      </w:r>
      <w:r w:rsidRPr="00860E68">
        <w:t>: uklart hva dette omfatter</w:t>
      </w:r>
    </w:p>
    <w:p w:rsidR="0098320A" w:rsidRPr="00860E68" w:rsidRDefault="0098320A" w:rsidP="00710124">
      <w:pPr>
        <w:shd w:val="clear" w:color="auto" w:fill="FFFFFF"/>
        <w:spacing w:after="0" w:line="240" w:lineRule="auto"/>
        <w:rPr>
          <w:color w:val="282828"/>
        </w:rPr>
      </w:pPr>
    </w:p>
    <w:p w:rsidR="002B2563" w:rsidRPr="00860E68" w:rsidRDefault="002B2563" w:rsidP="002B2563">
      <w:pPr>
        <w:rPr>
          <w:b/>
        </w:rPr>
      </w:pPr>
      <w:r w:rsidRPr="00860E68">
        <w:rPr>
          <w:b/>
        </w:rPr>
        <w:t>§4-3</w:t>
      </w:r>
    </w:p>
    <w:p w:rsidR="00DC561F" w:rsidRDefault="002B2563" w:rsidP="00E037A2">
      <w:r w:rsidRPr="00860E68">
        <w:rPr>
          <w:u w:val="single"/>
        </w:rPr>
        <w:t>Kommentar</w:t>
      </w:r>
      <w:r w:rsidRPr="00860E68">
        <w:t>: Bør mulighet til muntlig rekvirering begrenset nå som e-resept er innført? For eksempel ikke mulig å rekvirere A- og B-preparater via telefon?</w:t>
      </w:r>
      <w:r w:rsidR="00D50D4C" w:rsidRPr="00860E68">
        <w:t xml:space="preserve"> </w:t>
      </w:r>
      <w:r w:rsidRPr="00860E68">
        <w:t>Det er i mange tilfeller svært vanskelig å bekrefte sikker identitet på rekvirent som henvender seg telefonisk til apotek.</w:t>
      </w:r>
    </w:p>
    <w:p w:rsidR="00E67083" w:rsidRDefault="00E67083" w:rsidP="00E67083">
      <w:pPr>
        <w:rPr>
          <w:b/>
          <w:bCs/>
        </w:rPr>
      </w:pPr>
      <w:r>
        <w:rPr>
          <w:b/>
          <w:bCs/>
        </w:rPr>
        <w:t>§ 5-4</w:t>
      </w:r>
      <w:r w:rsidRPr="00860E68">
        <w:rPr>
          <w:b/>
          <w:bCs/>
        </w:rPr>
        <w:t xml:space="preserve"> </w:t>
      </w:r>
    </w:p>
    <w:p w:rsidR="00E67083" w:rsidRDefault="00C20DB8" w:rsidP="00E037A2">
      <w:r>
        <w:t xml:space="preserve">Hvis postens </w:t>
      </w:r>
      <w:proofErr w:type="spellStart"/>
      <w:r>
        <w:t>id-kort</w:t>
      </w:r>
      <w:proofErr w:type="spellEnd"/>
      <w:r>
        <w:t xml:space="preserve"> skal kunne benyttes </w:t>
      </w:r>
      <w:r w:rsidR="00E67083">
        <w:t xml:space="preserve">bør </w:t>
      </w:r>
      <w:r>
        <w:t xml:space="preserve">det </w:t>
      </w:r>
      <w:r w:rsidR="00E67083">
        <w:t xml:space="preserve">spesifiseres hvor lenge </w:t>
      </w:r>
      <w:r>
        <w:t>disse</w:t>
      </w:r>
      <w:r w:rsidR="00E67083">
        <w:t xml:space="preserve"> kan benyttes, med ta</w:t>
      </w:r>
      <w:r w:rsidR="0082418E">
        <w:t xml:space="preserve">nke på at de </w:t>
      </w:r>
      <w:r w:rsidR="00E67083">
        <w:t>ikke produseres lengre</w:t>
      </w:r>
      <w:r>
        <w:t>.</w:t>
      </w:r>
    </w:p>
    <w:p w:rsidR="00362727" w:rsidRDefault="00362727" w:rsidP="00362727">
      <w:pPr>
        <w:rPr>
          <w:b/>
          <w:bCs/>
        </w:rPr>
      </w:pPr>
      <w:r>
        <w:rPr>
          <w:b/>
          <w:bCs/>
        </w:rPr>
        <w:t>§ 10-1</w:t>
      </w:r>
      <w:r w:rsidRPr="00860E68">
        <w:rPr>
          <w:b/>
          <w:bCs/>
        </w:rPr>
        <w:t xml:space="preserve"> </w:t>
      </w:r>
    </w:p>
    <w:p w:rsidR="00A05600" w:rsidRPr="00DC561F" w:rsidRDefault="00A05600" w:rsidP="00362727">
      <w:r>
        <w:rPr>
          <w:b/>
          <w:bCs/>
        </w:rPr>
        <w:t>Overføring av resept til annet apotek</w:t>
      </w:r>
    </w:p>
    <w:p w:rsidR="00A05600" w:rsidRDefault="00A05600" w:rsidP="00A05600">
      <w:pPr>
        <w:shd w:val="clear" w:color="auto" w:fill="FFFFFF"/>
        <w:spacing w:before="100" w:beforeAutospacing="1" w:after="0" w:line="240" w:lineRule="auto"/>
        <w:rPr>
          <w:rFonts w:eastAsia="Times New Roman" w:cstheme="minorHAnsi"/>
          <w:color w:val="212121"/>
          <w:szCs w:val="24"/>
          <w:lang w:eastAsia="nb-NO"/>
        </w:rPr>
      </w:pPr>
      <w:r w:rsidRPr="00A05600">
        <w:rPr>
          <w:rFonts w:eastAsia="Times New Roman" w:cstheme="minorHAnsi"/>
          <w:color w:val="212121"/>
          <w:szCs w:val="24"/>
          <w:lang w:eastAsia="nb-NO"/>
        </w:rPr>
        <w:t>Veiledning om resepter og rekvisisjoner kan sendes elektronisk til apotek er gitt på Helsedirektoratets nettside. Det er eksempelvis ikke lovlig å sende resept via ukryptert e-post.</w:t>
      </w:r>
    </w:p>
    <w:p w:rsidR="00A05600" w:rsidRDefault="00A05600" w:rsidP="00A05600">
      <w:pPr>
        <w:shd w:val="clear" w:color="auto" w:fill="FFFFFF"/>
        <w:spacing w:before="100" w:beforeAutospacing="1" w:after="0" w:line="240" w:lineRule="auto"/>
        <w:rPr>
          <w:rFonts w:eastAsia="Times New Roman" w:cstheme="minorHAnsi"/>
          <w:color w:val="212121"/>
          <w:szCs w:val="24"/>
          <w:lang w:eastAsia="nb-NO"/>
        </w:rPr>
      </w:pPr>
      <w:r w:rsidRPr="00860E68">
        <w:rPr>
          <w:u w:val="single"/>
        </w:rPr>
        <w:t>Kommentar</w:t>
      </w:r>
      <w:r w:rsidR="000478D3">
        <w:t>: Denne teksten kunne med fordel stått under et overordnet punkt om resepter og rekvisisjoner slik at man også sikrer at rekvi</w:t>
      </w:r>
      <w:r w:rsidR="00C64F20">
        <w:t>renter finner den samme informasj</w:t>
      </w:r>
      <w:r w:rsidR="000478D3">
        <w:t>onen.</w:t>
      </w:r>
    </w:p>
    <w:p w:rsidR="00E037A2" w:rsidRPr="00A05600" w:rsidRDefault="00E037A2" w:rsidP="00A05600">
      <w:pPr>
        <w:shd w:val="clear" w:color="auto" w:fill="FFFFFF"/>
        <w:spacing w:before="100" w:beforeAutospacing="1" w:after="0" w:line="240" w:lineRule="auto"/>
        <w:rPr>
          <w:rFonts w:eastAsia="Times New Roman" w:cstheme="minorHAnsi"/>
          <w:color w:val="212121"/>
          <w:szCs w:val="24"/>
          <w:lang w:eastAsia="nb-NO"/>
        </w:rPr>
      </w:pPr>
      <w:r w:rsidRPr="00860E68">
        <w:rPr>
          <w:b/>
          <w:bCs/>
        </w:rPr>
        <w:t xml:space="preserve">§ 10-7 </w:t>
      </w:r>
    </w:p>
    <w:p w:rsidR="00E037A2" w:rsidRPr="00860E68" w:rsidRDefault="00E037A2" w:rsidP="00E037A2">
      <w:pPr>
        <w:rPr>
          <w:b/>
          <w:bCs/>
        </w:rPr>
      </w:pPr>
      <w:r w:rsidRPr="00860E68">
        <w:rPr>
          <w:b/>
          <w:bCs/>
        </w:rPr>
        <w:t xml:space="preserve">Veiledning til apotek for valg av byttbare legemidler i tilfeller der det rekvireres virkestoffnavn på resept i stedet for handelsnavn </w:t>
      </w:r>
    </w:p>
    <w:p w:rsidR="00E037A2" w:rsidRPr="00860E68" w:rsidRDefault="00E037A2" w:rsidP="00E037A2">
      <w:r w:rsidRPr="00860E68">
        <w:t>Det er flere muligheter for valg av legemidler som har samme byttegruppekode er byttbare med hverandre.</w:t>
      </w:r>
    </w:p>
    <w:p w:rsidR="00CE22CA" w:rsidRDefault="00E037A2" w:rsidP="00CE22CA">
      <w:pPr>
        <w:rPr>
          <w:rFonts w:cstheme="minorHAnsi"/>
        </w:rPr>
      </w:pPr>
      <w:r w:rsidRPr="00B56432">
        <w:rPr>
          <w:rFonts w:cstheme="minorHAnsi"/>
          <w:u w:val="single"/>
        </w:rPr>
        <w:t xml:space="preserve">Kommentar: </w:t>
      </w:r>
      <w:r w:rsidRPr="00B56432">
        <w:rPr>
          <w:rFonts w:cstheme="minorHAnsi"/>
        </w:rPr>
        <w:t>Ufullstendig setning</w:t>
      </w:r>
    </w:p>
    <w:p w:rsidR="00B56432" w:rsidRPr="00B56432" w:rsidRDefault="00B56432" w:rsidP="00CE22CA">
      <w:pPr>
        <w:rPr>
          <w:rFonts w:cstheme="minorHAnsi"/>
        </w:rPr>
      </w:pPr>
      <w:r w:rsidRPr="00860E68">
        <w:rPr>
          <w:b/>
          <w:bCs/>
        </w:rPr>
        <w:t>Veiledning til apotek</w:t>
      </w:r>
      <w:r>
        <w:rPr>
          <w:b/>
          <w:bCs/>
        </w:rPr>
        <w:t xml:space="preserve"> forts.</w:t>
      </w:r>
    </w:p>
    <w:p w:rsidR="00B56432" w:rsidRPr="00B56432" w:rsidRDefault="00B56432" w:rsidP="00B5643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212121"/>
        </w:rPr>
      </w:pPr>
      <w:r w:rsidRPr="00B56432">
        <w:rPr>
          <w:rFonts w:cstheme="minorHAnsi"/>
          <w:color w:val="212121"/>
        </w:rPr>
        <w:t>Det bør utleveres pakninger som tilsvarer nærmeste tilgjengelige pakningsstørrelse</w:t>
      </w:r>
    </w:p>
    <w:p w:rsidR="00B56432" w:rsidRPr="00B56432" w:rsidRDefault="00B56432" w:rsidP="00B5643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212121"/>
        </w:rPr>
      </w:pPr>
      <w:r w:rsidRPr="00B56432">
        <w:rPr>
          <w:rFonts w:cstheme="minorHAnsi"/>
          <w:color w:val="212121"/>
        </w:rPr>
        <w:t>Ved behandling av kroniske indikasjoner bør det ikke utleveres mindre mengder enn svarende til 3 måneders forbruk </w:t>
      </w:r>
    </w:p>
    <w:p w:rsidR="00B56432" w:rsidRPr="00B56432" w:rsidRDefault="00B56432" w:rsidP="00B5643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212121"/>
        </w:rPr>
      </w:pPr>
      <w:r w:rsidRPr="00B56432">
        <w:rPr>
          <w:rFonts w:cstheme="minorHAnsi"/>
          <w:color w:val="212121"/>
        </w:rPr>
        <w:t>Det bør utleveres tilstrekkelig mengde for gjennomføring av rekvirert behandling</w:t>
      </w:r>
    </w:p>
    <w:p w:rsidR="00B56432" w:rsidRPr="00B56432" w:rsidRDefault="00B56432" w:rsidP="00B5643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212121"/>
        </w:rPr>
      </w:pPr>
      <w:r w:rsidRPr="00B56432">
        <w:rPr>
          <w:rFonts w:cstheme="minorHAnsi"/>
          <w:color w:val="212121"/>
        </w:rPr>
        <w:t xml:space="preserve">Virkestoffrekvirering skal ikke medføre hyppigere </w:t>
      </w:r>
      <w:proofErr w:type="spellStart"/>
      <w:r w:rsidRPr="00B56432">
        <w:rPr>
          <w:rFonts w:cstheme="minorHAnsi"/>
          <w:color w:val="212121"/>
        </w:rPr>
        <w:t>anbrudd</w:t>
      </w:r>
      <w:proofErr w:type="spellEnd"/>
      <w:r w:rsidRPr="00B56432">
        <w:rPr>
          <w:rFonts w:cstheme="minorHAnsi"/>
          <w:color w:val="212121"/>
        </w:rPr>
        <w:t xml:space="preserve"> av pakninger enn nåværende praksis, men </w:t>
      </w:r>
      <w:proofErr w:type="spellStart"/>
      <w:r w:rsidRPr="00B56432">
        <w:rPr>
          <w:rFonts w:cstheme="minorHAnsi"/>
          <w:color w:val="212121"/>
        </w:rPr>
        <w:t>anbrudd</w:t>
      </w:r>
      <w:proofErr w:type="spellEnd"/>
      <w:r w:rsidRPr="00B56432">
        <w:rPr>
          <w:rFonts w:cstheme="minorHAnsi"/>
          <w:color w:val="212121"/>
        </w:rPr>
        <w:t xml:space="preserve"> skal fortsatt utføres når det anses å være nødvendig</w:t>
      </w:r>
    </w:p>
    <w:p w:rsidR="00B56432" w:rsidRPr="00B56432" w:rsidRDefault="00B56432" w:rsidP="00B5643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212121"/>
        </w:rPr>
      </w:pPr>
      <w:r w:rsidRPr="00B56432">
        <w:rPr>
          <w:rFonts w:cstheme="minorHAnsi"/>
          <w:color w:val="212121"/>
        </w:rPr>
        <w:t>For legemidler i reseptgruppe A og B bør det unngås å utlevere større mengder enn det som er rekvirert. Apotek må være særlig påpasselig når rekvirent har rekvirert små mengder</w:t>
      </w:r>
    </w:p>
    <w:p w:rsidR="00B56432" w:rsidRPr="00B56432" w:rsidRDefault="00B56432" w:rsidP="00B5643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212121"/>
        </w:rPr>
      </w:pPr>
      <w:r w:rsidRPr="00B56432">
        <w:rPr>
          <w:rFonts w:cstheme="minorHAnsi"/>
          <w:color w:val="212121"/>
        </w:rPr>
        <w:t>Ved tvil kan rekvirent kontaktes</w:t>
      </w:r>
    </w:p>
    <w:p w:rsidR="00DC37F1" w:rsidRDefault="00DC37F1" w:rsidP="00B56432">
      <w:r w:rsidRPr="00860E68">
        <w:rPr>
          <w:u w:val="single"/>
        </w:rPr>
        <w:t xml:space="preserve">Kommentar: </w:t>
      </w:r>
      <w:r>
        <w:t>Det er bra at alternativer beskrives i tilfeller hvor det rekvireres mindre mengde enn minste pakning. Det bør presiseres i veileder at det som hovedregel ikke skal rekvireres mindre mengde enn tilsvarende minste pakning.</w:t>
      </w:r>
      <w:r w:rsidR="00B56432" w:rsidRPr="00B56432">
        <w:t xml:space="preserve"> </w:t>
      </w:r>
      <w:r w:rsidR="00B56432">
        <w:t>Anbefalingen for A- og B-preparater kan være utfordrende for apotekene å etterleve da ikke alle pakninger enkelt lar seg dele opp (for eksempel tabletter i boks som da ev</w:t>
      </w:r>
      <w:r w:rsidR="00806DF1">
        <w:t>en</w:t>
      </w:r>
      <w:r w:rsidR="00B56432">
        <w:t>t</w:t>
      </w:r>
      <w:r w:rsidR="00806DF1">
        <w:t>uelt</w:t>
      </w:r>
      <w:r w:rsidR="00B56432">
        <w:t xml:space="preserve"> må telles av, blisterbrett som ikke kan klippes opp </w:t>
      </w:r>
      <w:proofErr w:type="spellStart"/>
      <w:r w:rsidR="00B56432">
        <w:t>etc</w:t>
      </w:r>
      <w:proofErr w:type="spellEnd"/>
      <w:r w:rsidR="00B56432">
        <w:t>).  Apotekene får merarbeid ved oppdeling av pakker og vil i mange tilfeller ikke få solgt resterende mengde i pakningen (dvs</w:t>
      </w:r>
      <w:r w:rsidR="00806DF1">
        <w:t>.</w:t>
      </w:r>
      <w:r w:rsidR="00B56432">
        <w:t xml:space="preserve"> økonomisk tap for apoteket).</w:t>
      </w:r>
    </w:p>
    <w:p w:rsidR="00806DF1" w:rsidRDefault="00806DF1" w:rsidP="00B56432"/>
    <w:p w:rsidR="00CE22CA" w:rsidRPr="00CE22CA" w:rsidRDefault="00CE22CA" w:rsidP="00CE22CA">
      <w:pPr>
        <w:rPr>
          <w:b/>
        </w:rPr>
      </w:pPr>
      <w:r w:rsidRPr="00CE22CA">
        <w:rPr>
          <w:b/>
        </w:rPr>
        <w:t>Generelle tilbakemeldinger</w:t>
      </w:r>
      <w:r w:rsidR="00DC561F">
        <w:rPr>
          <w:b/>
        </w:rPr>
        <w:t>:</w:t>
      </w:r>
    </w:p>
    <w:p w:rsidR="00806DF1" w:rsidRDefault="00CE22CA" w:rsidP="00F8717E">
      <w:pPr>
        <w:shd w:val="clear" w:color="auto" w:fill="FFFFFF"/>
        <w:rPr>
          <w:color w:val="282828"/>
        </w:rPr>
      </w:pPr>
      <w:r>
        <w:rPr>
          <w:color w:val="282828"/>
        </w:rPr>
        <w:t xml:space="preserve">Ellers ønsker vi å kommentere at vi synes det er bra at legers ansvar med tanke på reseptformidler presiseres i </w:t>
      </w:r>
      <w:proofErr w:type="spellStart"/>
      <w:r>
        <w:rPr>
          <w:color w:val="282828"/>
        </w:rPr>
        <w:t>forskriften</w:t>
      </w:r>
      <w:proofErr w:type="spellEnd"/>
      <w:r>
        <w:rPr>
          <w:color w:val="282828"/>
        </w:rPr>
        <w:t xml:space="preserve"> og at listen over godkjent legitimasjon utvides. Veldig bra at digitalt førerkort godkjennes som gyldig legitimasjon og at det presiseres at legitimasjon ikke skal ha utløpt gyldighet. </w:t>
      </w:r>
    </w:p>
    <w:p w:rsidR="00E5593D" w:rsidRDefault="00E5593D" w:rsidP="00F8717E">
      <w:pPr>
        <w:shd w:val="clear" w:color="auto" w:fill="FFFFFF"/>
        <w:rPr>
          <w:color w:val="282828"/>
        </w:rPr>
      </w:pPr>
      <w:bookmarkStart w:id="0" w:name="_GoBack"/>
      <w:bookmarkEnd w:id="0"/>
    </w:p>
    <w:p w:rsidR="00F8717E" w:rsidRPr="00860E68" w:rsidRDefault="00F8717E" w:rsidP="00F8717E">
      <w:pPr>
        <w:shd w:val="clear" w:color="auto" w:fill="FFFFFF"/>
        <w:rPr>
          <w:color w:val="282828"/>
        </w:rPr>
      </w:pPr>
      <w:r w:rsidRPr="00860E68">
        <w:rPr>
          <w:color w:val="282828"/>
        </w:rPr>
        <w:t>Hilsen</w:t>
      </w:r>
    </w:p>
    <w:p w:rsidR="00F8717E" w:rsidRPr="00860E68" w:rsidRDefault="00A00BC8" w:rsidP="00F8717E">
      <w:pPr>
        <w:shd w:val="clear" w:color="auto" w:fill="FFFFFF"/>
        <w:spacing w:after="0"/>
        <w:rPr>
          <w:color w:val="282828"/>
        </w:rPr>
      </w:pPr>
      <w:r w:rsidRPr="00860E68">
        <w:rPr>
          <w:color w:val="282828"/>
        </w:rPr>
        <w:t>Renate Elenjord</w:t>
      </w:r>
    </w:p>
    <w:p w:rsidR="00F8717E" w:rsidRPr="00860E68" w:rsidRDefault="00F8717E" w:rsidP="00F8717E">
      <w:pPr>
        <w:shd w:val="clear" w:color="auto" w:fill="FFFFFF"/>
        <w:spacing w:after="0"/>
        <w:rPr>
          <w:color w:val="282828"/>
        </w:rPr>
      </w:pPr>
      <w:r w:rsidRPr="00860E68">
        <w:rPr>
          <w:color w:val="282828"/>
        </w:rPr>
        <w:t>Leder</w:t>
      </w:r>
    </w:p>
    <w:p w:rsidR="00F8717E" w:rsidRPr="00860E68" w:rsidRDefault="00F8717E" w:rsidP="00F8717E">
      <w:pPr>
        <w:shd w:val="clear" w:color="auto" w:fill="FFFFFF"/>
        <w:spacing w:after="0"/>
        <w:rPr>
          <w:color w:val="282828"/>
        </w:rPr>
      </w:pPr>
      <w:r w:rsidRPr="00860E68">
        <w:rPr>
          <w:color w:val="282828"/>
        </w:rPr>
        <w:t>Norske Sykehusfarmasøyters Forening</w:t>
      </w:r>
    </w:p>
    <w:p w:rsidR="009D5EFE" w:rsidRPr="00860E68" w:rsidRDefault="00E5593D" w:rsidP="002B641E">
      <w:pPr>
        <w:shd w:val="clear" w:color="auto" w:fill="FFFFFF"/>
        <w:spacing w:after="0"/>
        <w:rPr>
          <w:rFonts w:eastAsia="Calibri" w:cs="Times New Roman"/>
        </w:rPr>
      </w:pPr>
      <w:hyperlink r:id="rId7" w:history="1">
        <w:r w:rsidR="00F8717E" w:rsidRPr="00860E68">
          <w:rPr>
            <w:rStyle w:val="Hyperkobling"/>
            <w:rFonts w:eastAsia="Calibri" w:cs="Times New Roman"/>
          </w:rPr>
          <w:t>www.sykehusfarmasi.org</w:t>
        </w:r>
      </w:hyperlink>
    </w:p>
    <w:sectPr w:rsidR="009D5EFE" w:rsidRPr="00860E68" w:rsidSect="008C68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E0B47"/>
    <w:multiLevelType w:val="multilevel"/>
    <w:tmpl w:val="B4A84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F477C1"/>
    <w:multiLevelType w:val="multilevel"/>
    <w:tmpl w:val="14EE6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5F1445"/>
    <w:multiLevelType w:val="multilevel"/>
    <w:tmpl w:val="A072C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FBC1E32"/>
    <w:multiLevelType w:val="multilevel"/>
    <w:tmpl w:val="2ADA4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890"/>
    <w:rsid w:val="00022DA5"/>
    <w:rsid w:val="00025B57"/>
    <w:rsid w:val="00042A1D"/>
    <w:rsid w:val="000478D3"/>
    <w:rsid w:val="001155ED"/>
    <w:rsid w:val="00156490"/>
    <w:rsid w:val="00170874"/>
    <w:rsid w:val="001C3D4D"/>
    <w:rsid w:val="0026744F"/>
    <w:rsid w:val="002729B5"/>
    <w:rsid w:val="002759B2"/>
    <w:rsid w:val="002940DA"/>
    <w:rsid w:val="002B2563"/>
    <w:rsid w:val="002B641E"/>
    <w:rsid w:val="0032177C"/>
    <w:rsid w:val="00362727"/>
    <w:rsid w:val="003872AE"/>
    <w:rsid w:val="003B2591"/>
    <w:rsid w:val="00401C4A"/>
    <w:rsid w:val="00420DE3"/>
    <w:rsid w:val="00443DDA"/>
    <w:rsid w:val="004868D9"/>
    <w:rsid w:val="004C5C1B"/>
    <w:rsid w:val="004E19AC"/>
    <w:rsid w:val="00530E34"/>
    <w:rsid w:val="0054519D"/>
    <w:rsid w:val="005663DC"/>
    <w:rsid w:val="005A4AE9"/>
    <w:rsid w:val="00710124"/>
    <w:rsid w:val="00750890"/>
    <w:rsid w:val="00750A3A"/>
    <w:rsid w:val="007524EF"/>
    <w:rsid w:val="00766E11"/>
    <w:rsid w:val="00787B5A"/>
    <w:rsid w:val="00794415"/>
    <w:rsid w:val="007D6742"/>
    <w:rsid w:val="00806DF1"/>
    <w:rsid w:val="0082418E"/>
    <w:rsid w:val="00854E3F"/>
    <w:rsid w:val="008553C7"/>
    <w:rsid w:val="00860E68"/>
    <w:rsid w:val="008C6871"/>
    <w:rsid w:val="008D69A0"/>
    <w:rsid w:val="008E69EE"/>
    <w:rsid w:val="0098320A"/>
    <w:rsid w:val="009A4AF7"/>
    <w:rsid w:val="009C6AA2"/>
    <w:rsid w:val="009D5EFE"/>
    <w:rsid w:val="00A00BC8"/>
    <w:rsid w:val="00A05600"/>
    <w:rsid w:val="00A559DF"/>
    <w:rsid w:val="00A81AB8"/>
    <w:rsid w:val="00AA2437"/>
    <w:rsid w:val="00AD64CC"/>
    <w:rsid w:val="00B247B1"/>
    <w:rsid w:val="00B4486D"/>
    <w:rsid w:val="00B56432"/>
    <w:rsid w:val="00B659AB"/>
    <w:rsid w:val="00B70FD5"/>
    <w:rsid w:val="00BD1ADF"/>
    <w:rsid w:val="00BE2C82"/>
    <w:rsid w:val="00C20DB8"/>
    <w:rsid w:val="00C64F20"/>
    <w:rsid w:val="00CD5D4F"/>
    <w:rsid w:val="00CE22CA"/>
    <w:rsid w:val="00D2206B"/>
    <w:rsid w:val="00D468C0"/>
    <w:rsid w:val="00D50D4C"/>
    <w:rsid w:val="00DC2692"/>
    <w:rsid w:val="00DC37F1"/>
    <w:rsid w:val="00DC561F"/>
    <w:rsid w:val="00DD4FB2"/>
    <w:rsid w:val="00E037A2"/>
    <w:rsid w:val="00E13F9E"/>
    <w:rsid w:val="00E46350"/>
    <w:rsid w:val="00E5593D"/>
    <w:rsid w:val="00E67083"/>
    <w:rsid w:val="00E73A59"/>
    <w:rsid w:val="00E96A6B"/>
    <w:rsid w:val="00EA476C"/>
    <w:rsid w:val="00EE4F02"/>
    <w:rsid w:val="00EE698A"/>
    <w:rsid w:val="00F02C16"/>
    <w:rsid w:val="00F85244"/>
    <w:rsid w:val="00F87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82570"/>
  <w15:docId w15:val="{AD63E8AC-9021-4AC8-BDD7-EAFD3BBFE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6871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E73A59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02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02C1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940DA"/>
    <w:pPr>
      <w:spacing w:after="0" w:line="240" w:lineRule="auto"/>
    </w:pPr>
    <w:rPr>
      <w:rFonts w:ascii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6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6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ykehusfarmasi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elsedirektoratet.no/tema/autorisasjon-og-spesialistutdanning/tannlege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866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Lisbeth Trelnes</dc:creator>
  <cp:lastModifiedBy>Sandblost, Lene Sæther</cp:lastModifiedBy>
  <cp:revision>11</cp:revision>
  <dcterms:created xsi:type="dcterms:W3CDTF">2022-08-05T12:43:00Z</dcterms:created>
  <dcterms:modified xsi:type="dcterms:W3CDTF">2022-08-10T13:01:00Z</dcterms:modified>
</cp:coreProperties>
</file>